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198" w:type="dxa"/>
        <w:tblLook w:val="04A0" w:firstRow="1" w:lastRow="0" w:firstColumn="1" w:lastColumn="0" w:noHBand="0" w:noVBand="1"/>
      </w:tblPr>
      <w:tblGrid>
        <w:gridCol w:w="1890"/>
        <w:gridCol w:w="7650"/>
      </w:tblGrid>
      <w:tr w:rsidR="00EC1EBC" w:rsidRPr="00F404D4" w14:paraId="1B21CFC3" w14:textId="77777777" w:rsidTr="006A6D81">
        <w:tc>
          <w:tcPr>
            <w:tcW w:w="1890" w:type="dxa"/>
            <w:shd w:val="clear" w:color="auto" w:fill="D9D9D9" w:themeFill="background1" w:themeFillShade="D9"/>
          </w:tcPr>
          <w:p w14:paraId="7C5A0842" w14:textId="77777777" w:rsidR="00EC1EBC" w:rsidRPr="00F404D4" w:rsidRDefault="00EC1EBC" w:rsidP="006A6D81">
            <w:pPr>
              <w:rPr>
                <w:b/>
              </w:rPr>
            </w:pPr>
          </w:p>
          <w:p w14:paraId="24FBD7DF" w14:textId="77777777" w:rsidR="00EC1EBC" w:rsidRPr="00F404D4" w:rsidRDefault="00EC1EBC" w:rsidP="006A6D81">
            <w:pPr>
              <w:rPr>
                <w:b/>
              </w:rPr>
            </w:pPr>
            <w:r w:rsidRPr="00F404D4">
              <w:rPr>
                <w:b/>
              </w:rPr>
              <w:t>FEATURE</w:t>
            </w:r>
          </w:p>
          <w:p w14:paraId="6C953E48" w14:textId="77777777" w:rsidR="00EC1EBC" w:rsidRPr="00F404D4" w:rsidRDefault="00EC1EBC" w:rsidP="006A6D81">
            <w:pPr>
              <w:rPr>
                <w:b/>
              </w:rPr>
            </w:pPr>
          </w:p>
        </w:tc>
        <w:tc>
          <w:tcPr>
            <w:tcW w:w="7650" w:type="dxa"/>
            <w:shd w:val="clear" w:color="auto" w:fill="D9D9D9" w:themeFill="background1" w:themeFillShade="D9"/>
          </w:tcPr>
          <w:p w14:paraId="348339CE" w14:textId="77777777" w:rsidR="00EC1EBC" w:rsidRPr="00F404D4" w:rsidRDefault="00EC1EBC" w:rsidP="006A6D81">
            <w:pPr>
              <w:rPr>
                <w:b/>
              </w:rPr>
            </w:pPr>
          </w:p>
          <w:p w14:paraId="294D722C" w14:textId="77777777" w:rsidR="00EC1EBC" w:rsidRPr="00F404D4" w:rsidRDefault="00EC1EBC" w:rsidP="006A6D81">
            <w:pPr>
              <w:rPr>
                <w:b/>
              </w:rPr>
            </w:pPr>
            <w:r w:rsidRPr="00F404D4">
              <w:rPr>
                <w:b/>
              </w:rPr>
              <w:t>FUNCTIONALITY</w:t>
            </w:r>
          </w:p>
        </w:tc>
      </w:tr>
      <w:tr w:rsidR="00EC1EBC" w:rsidRPr="00F404D4" w14:paraId="454F16FC" w14:textId="77777777" w:rsidTr="006A6D81">
        <w:tc>
          <w:tcPr>
            <w:tcW w:w="1890" w:type="dxa"/>
            <w:shd w:val="clear" w:color="auto" w:fill="D9E2F3" w:themeFill="accent1" w:themeFillTint="33"/>
          </w:tcPr>
          <w:p w14:paraId="7B2C3424" w14:textId="77777777" w:rsidR="00EC1EBC" w:rsidRPr="00F404D4" w:rsidRDefault="00EC1EBC" w:rsidP="006A6D81">
            <w:pPr>
              <w:rPr>
                <w:b/>
              </w:rPr>
            </w:pPr>
          </w:p>
          <w:p w14:paraId="69D95425" w14:textId="77777777" w:rsidR="00EC1EBC" w:rsidRPr="00F404D4" w:rsidRDefault="00EC1EBC" w:rsidP="006A6D81">
            <w:pPr>
              <w:rPr>
                <w:b/>
              </w:rPr>
            </w:pPr>
            <w:r w:rsidRPr="00F404D4">
              <w:rPr>
                <w:b/>
              </w:rPr>
              <w:t>Content</w:t>
            </w:r>
          </w:p>
        </w:tc>
        <w:tc>
          <w:tcPr>
            <w:tcW w:w="7650" w:type="dxa"/>
            <w:shd w:val="clear" w:color="auto" w:fill="auto"/>
          </w:tcPr>
          <w:p w14:paraId="517DEE13" w14:textId="77777777" w:rsidR="00EC1EBC" w:rsidRPr="00F404D4" w:rsidRDefault="00EC1EBC" w:rsidP="006A6D81">
            <w:pPr>
              <w:autoSpaceDE w:val="0"/>
              <w:autoSpaceDN w:val="0"/>
              <w:adjustRightInd w:val="0"/>
              <w:jc w:val="both"/>
              <w:rPr>
                <w:rFonts w:cs="HelveticaNeueLTStd-Lt"/>
                <w:color w:val="000000"/>
              </w:rPr>
            </w:pPr>
          </w:p>
          <w:p w14:paraId="6723388D" w14:textId="418D4B60"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 xml:space="preserve">A constantly growing comprehensive and interactive library </w:t>
            </w:r>
            <w:proofErr w:type="gramStart"/>
            <w:r w:rsidRPr="00F404D4">
              <w:rPr>
                <w:rFonts w:cs="HelveticaNeueLTStd-Lt"/>
                <w:color w:val="000000"/>
              </w:rPr>
              <w:t>in excess of</w:t>
            </w:r>
            <w:proofErr w:type="gramEnd"/>
            <w:r w:rsidRPr="00F404D4">
              <w:rPr>
                <w:rFonts w:cs="HelveticaNeueLTStd-Lt"/>
                <w:color w:val="000000"/>
              </w:rPr>
              <w:t xml:space="preserve"> </w:t>
            </w:r>
            <w:r>
              <w:rPr>
                <w:rFonts w:cs="HelveticaNeueLTStd-Lt"/>
                <w:color w:val="000000"/>
              </w:rPr>
              <w:t>10</w:t>
            </w:r>
            <w:r>
              <w:rPr>
                <w:rFonts w:cs="HelveticaNeueLTStd-Lt"/>
                <w:color w:val="000000"/>
              </w:rPr>
              <w:t>,</w:t>
            </w:r>
            <w:r w:rsidRPr="00F404D4">
              <w:rPr>
                <w:rFonts w:cs="HelveticaNeueLTStd-Lt"/>
                <w:color w:val="000000"/>
              </w:rPr>
              <w:t xml:space="preserve">000 regulations, standards, best practices and 300 assessments. Easily import regulatory content in a “clickable” format - import paper-based or excel content into click-enabled, interactive working documents for streamlined implementation - regardless of the format you can input source documents into Compliance Mapper automatically with a simple cut and paste option - requirements within regulations become independent, actionable entities. Content library include regulations in Spanish and French language to assist </w:t>
            </w:r>
            <w:r w:rsidRPr="00F404D4">
              <w:rPr>
                <w:rFonts w:cs="HelveticaNeueLTStd-Lt"/>
                <w:color w:val="000000"/>
              </w:rPr>
              <w:t>non-English-speaking</w:t>
            </w:r>
            <w:r w:rsidRPr="00F404D4">
              <w:rPr>
                <w:rFonts w:cs="HelveticaNeueLTStd-Lt"/>
                <w:color w:val="000000"/>
              </w:rPr>
              <w:t xml:space="preserve"> users.</w:t>
            </w:r>
          </w:p>
          <w:p w14:paraId="4D3D5768" w14:textId="77777777" w:rsidR="00EC1EBC" w:rsidRPr="00F404D4" w:rsidRDefault="00EC1EBC" w:rsidP="006A6D81">
            <w:pPr>
              <w:autoSpaceDE w:val="0"/>
              <w:autoSpaceDN w:val="0"/>
              <w:adjustRightInd w:val="0"/>
              <w:jc w:val="both"/>
            </w:pPr>
          </w:p>
        </w:tc>
      </w:tr>
      <w:tr w:rsidR="00EC1EBC" w:rsidRPr="00F404D4" w14:paraId="154D91C4" w14:textId="77777777" w:rsidTr="006A6D81">
        <w:tc>
          <w:tcPr>
            <w:tcW w:w="1890" w:type="dxa"/>
            <w:shd w:val="clear" w:color="auto" w:fill="D9E2F3" w:themeFill="accent1" w:themeFillTint="33"/>
          </w:tcPr>
          <w:p w14:paraId="06319219" w14:textId="77777777" w:rsidR="00EC1EBC" w:rsidRPr="00F404D4" w:rsidRDefault="00EC1EBC" w:rsidP="006A6D81">
            <w:pPr>
              <w:rPr>
                <w:rFonts w:cs="HelveticaNeueLTStd-Bd"/>
                <w:b/>
                <w:bCs/>
              </w:rPr>
            </w:pPr>
          </w:p>
          <w:p w14:paraId="36BE86AD" w14:textId="77777777" w:rsidR="00EC1EBC" w:rsidRPr="00F404D4" w:rsidRDefault="00EC1EBC" w:rsidP="006A6D81">
            <w:pPr>
              <w:rPr>
                <w:rFonts w:cs="HelveticaNeueLTStd-Bd"/>
                <w:b/>
                <w:bCs/>
              </w:rPr>
            </w:pPr>
            <w:r w:rsidRPr="00F404D4">
              <w:rPr>
                <w:rFonts w:cs="HelveticaNeueLTStd-Bd"/>
                <w:b/>
                <w:bCs/>
              </w:rPr>
              <w:t>Point-And-Click Mapping</w:t>
            </w:r>
          </w:p>
          <w:p w14:paraId="46415A29" w14:textId="77777777" w:rsidR="00EC1EBC" w:rsidRPr="00F404D4" w:rsidRDefault="00EC1EBC" w:rsidP="006A6D81"/>
        </w:tc>
        <w:tc>
          <w:tcPr>
            <w:tcW w:w="7650" w:type="dxa"/>
          </w:tcPr>
          <w:p w14:paraId="542CC364" w14:textId="77777777" w:rsidR="00EC1EBC" w:rsidRPr="00F404D4" w:rsidRDefault="00EC1EBC" w:rsidP="006A6D81">
            <w:pPr>
              <w:autoSpaceDE w:val="0"/>
              <w:autoSpaceDN w:val="0"/>
              <w:adjustRightInd w:val="0"/>
              <w:jc w:val="both"/>
              <w:rPr>
                <w:rFonts w:cs="HelveticaNeueLTStd-Lt"/>
                <w:color w:val="000000"/>
              </w:rPr>
            </w:pPr>
          </w:p>
          <w:p w14:paraId="5450ADC4"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Simply point and click to create bi-directional links between relevant standards, regulations and best practices, policies and procedures - create the link once and you can see the relationship of any entity from many perspectives.</w:t>
            </w:r>
          </w:p>
          <w:p w14:paraId="36271B42" w14:textId="77777777" w:rsidR="00EC1EBC" w:rsidRPr="00F404D4" w:rsidRDefault="00EC1EBC" w:rsidP="006A6D81">
            <w:pPr>
              <w:autoSpaceDE w:val="0"/>
              <w:autoSpaceDN w:val="0"/>
              <w:adjustRightInd w:val="0"/>
              <w:jc w:val="both"/>
            </w:pPr>
          </w:p>
        </w:tc>
      </w:tr>
      <w:tr w:rsidR="00EC1EBC" w:rsidRPr="00F404D4" w14:paraId="434BCE8D" w14:textId="77777777" w:rsidTr="006A6D81">
        <w:tc>
          <w:tcPr>
            <w:tcW w:w="1890" w:type="dxa"/>
            <w:shd w:val="clear" w:color="auto" w:fill="D9E2F3" w:themeFill="accent1" w:themeFillTint="33"/>
          </w:tcPr>
          <w:p w14:paraId="5BDDB710" w14:textId="77777777" w:rsidR="00EC1EBC" w:rsidRPr="00F404D4" w:rsidRDefault="00EC1EBC" w:rsidP="006A6D81">
            <w:pPr>
              <w:rPr>
                <w:rFonts w:cs="HelveticaNeueLTStd-Bd"/>
                <w:b/>
                <w:bCs/>
              </w:rPr>
            </w:pPr>
          </w:p>
          <w:p w14:paraId="63C4B6C1" w14:textId="77777777" w:rsidR="00EC1EBC" w:rsidRPr="00F404D4" w:rsidRDefault="00EC1EBC" w:rsidP="006A6D81">
            <w:pPr>
              <w:rPr>
                <w:rFonts w:cs="HelveticaNeueLTStd-Bd"/>
                <w:b/>
                <w:bCs/>
              </w:rPr>
            </w:pPr>
            <w:r w:rsidRPr="00F404D4">
              <w:rPr>
                <w:rFonts w:cs="HelveticaNeueLTStd-Bd"/>
                <w:b/>
                <w:bCs/>
              </w:rPr>
              <w:t>Bi-Directional Linking</w:t>
            </w:r>
          </w:p>
          <w:p w14:paraId="0CA3F111" w14:textId="77777777" w:rsidR="00EC1EBC" w:rsidRPr="00F404D4" w:rsidRDefault="00EC1EBC" w:rsidP="006A6D81"/>
        </w:tc>
        <w:tc>
          <w:tcPr>
            <w:tcW w:w="7650" w:type="dxa"/>
          </w:tcPr>
          <w:p w14:paraId="0863E2AF" w14:textId="77777777" w:rsidR="00EC1EBC" w:rsidRPr="00F404D4" w:rsidRDefault="00EC1EBC" w:rsidP="006A6D81">
            <w:pPr>
              <w:autoSpaceDE w:val="0"/>
              <w:autoSpaceDN w:val="0"/>
              <w:adjustRightInd w:val="0"/>
              <w:jc w:val="both"/>
              <w:rPr>
                <w:rFonts w:cs="HelveticaNeueLTStd-Lt"/>
                <w:color w:val="000000"/>
              </w:rPr>
            </w:pPr>
          </w:p>
          <w:p w14:paraId="7AFC0E51"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Mappings work in two directions - mappings take you directly to the data and show you the indirectly related links that would never appear with hyperlinks - this cannot be effectively achieved using hyperlinks without considerable work imbedding links into documents and processes – the linking direction can easily be switched for baseline consistency.</w:t>
            </w:r>
          </w:p>
          <w:p w14:paraId="32BE22DA" w14:textId="77777777" w:rsidR="00EC1EBC" w:rsidRPr="00F404D4" w:rsidRDefault="00EC1EBC" w:rsidP="006A6D81">
            <w:pPr>
              <w:autoSpaceDE w:val="0"/>
              <w:autoSpaceDN w:val="0"/>
              <w:adjustRightInd w:val="0"/>
              <w:jc w:val="both"/>
            </w:pPr>
          </w:p>
        </w:tc>
      </w:tr>
      <w:tr w:rsidR="00EC1EBC" w:rsidRPr="00F404D4" w14:paraId="71D41011" w14:textId="77777777" w:rsidTr="006A6D81">
        <w:tc>
          <w:tcPr>
            <w:tcW w:w="1890" w:type="dxa"/>
            <w:shd w:val="clear" w:color="auto" w:fill="D9E2F3" w:themeFill="accent1" w:themeFillTint="33"/>
          </w:tcPr>
          <w:p w14:paraId="4E3FCA64" w14:textId="77777777" w:rsidR="00EC1EBC" w:rsidRPr="00F404D4" w:rsidRDefault="00EC1EBC" w:rsidP="006A6D81">
            <w:pPr>
              <w:rPr>
                <w:rFonts w:cs="HelveticaNeueLTStd-Bd"/>
                <w:b/>
                <w:bCs/>
              </w:rPr>
            </w:pPr>
          </w:p>
          <w:p w14:paraId="00445000" w14:textId="77777777" w:rsidR="00EC1EBC" w:rsidRPr="00F404D4" w:rsidRDefault="00EC1EBC" w:rsidP="006A6D81">
            <w:pPr>
              <w:rPr>
                <w:rFonts w:cs="HelveticaNeueLTStd-Bd"/>
                <w:b/>
                <w:bCs/>
              </w:rPr>
            </w:pPr>
            <w:r w:rsidRPr="00F404D4">
              <w:rPr>
                <w:rFonts w:cs="HelveticaNeueLTStd-Bd"/>
                <w:b/>
                <w:bCs/>
              </w:rPr>
              <w:t>Full Audit Logging</w:t>
            </w:r>
          </w:p>
          <w:p w14:paraId="57BDB22B" w14:textId="77777777" w:rsidR="00EC1EBC" w:rsidRPr="00F404D4" w:rsidRDefault="00EC1EBC" w:rsidP="006A6D81"/>
        </w:tc>
        <w:tc>
          <w:tcPr>
            <w:tcW w:w="7650" w:type="dxa"/>
          </w:tcPr>
          <w:p w14:paraId="2368EEDF" w14:textId="77777777" w:rsidR="00EC1EBC" w:rsidRPr="00F404D4" w:rsidRDefault="00EC1EBC" w:rsidP="006A6D81">
            <w:pPr>
              <w:autoSpaceDE w:val="0"/>
              <w:autoSpaceDN w:val="0"/>
              <w:adjustRightInd w:val="0"/>
              <w:jc w:val="both"/>
              <w:rPr>
                <w:rFonts w:cs="HelveticaNeueLTStd-Lt"/>
                <w:color w:val="000000"/>
              </w:rPr>
            </w:pPr>
          </w:p>
          <w:p w14:paraId="0BA09B4F"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Track each user’s activity - every activity is audit logged so you can trace activities back to the source and display them in an easy to understand format.</w:t>
            </w:r>
          </w:p>
          <w:p w14:paraId="2B72E551" w14:textId="77777777" w:rsidR="00EC1EBC" w:rsidRPr="00F404D4" w:rsidRDefault="00EC1EBC" w:rsidP="006A6D81">
            <w:pPr>
              <w:autoSpaceDE w:val="0"/>
              <w:autoSpaceDN w:val="0"/>
              <w:adjustRightInd w:val="0"/>
              <w:jc w:val="both"/>
            </w:pPr>
          </w:p>
        </w:tc>
      </w:tr>
      <w:tr w:rsidR="00EC1EBC" w:rsidRPr="00F404D4" w14:paraId="3285AB08" w14:textId="77777777" w:rsidTr="006A6D81">
        <w:tc>
          <w:tcPr>
            <w:tcW w:w="1890" w:type="dxa"/>
            <w:shd w:val="clear" w:color="auto" w:fill="D9E2F3" w:themeFill="accent1" w:themeFillTint="33"/>
          </w:tcPr>
          <w:p w14:paraId="6F794C7E" w14:textId="77777777" w:rsidR="00EC1EBC" w:rsidRPr="00F404D4" w:rsidRDefault="00EC1EBC" w:rsidP="006A6D81">
            <w:pPr>
              <w:rPr>
                <w:rFonts w:cs="HelveticaNeueLTStd-Bd"/>
                <w:b/>
                <w:bCs/>
              </w:rPr>
            </w:pPr>
          </w:p>
          <w:p w14:paraId="1B786268" w14:textId="77777777" w:rsidR="00EC1EBC" w:rsidRPr="00F404D4" w:rsidRDefault="00EC1EBC" w:rsidP="006A6D81">
            <w:pPr>
              <w:rPr>
                <w:rFonts w:cs="HelveticaNeueLTStd-Bd"/>
                <w:b/>
                <w:bCs/>
              </w:rPr>
            </w:pPr>
            <w:r w:rsidRPr="00F404D4">
              <w:rPr>
                <w:rFonts w:cs="HelveticaNeueLTStd-Bd"/>
                <w:b/>
                <w:bCs/>
              </w:rPr>
              <w:t>Full Reporting Capability</w:t>
            </w:r>
          </w:p>
          <w:p w14:paraId="7463E128" w14:textId="77777777" w:rsidR="00EC1EBC" w:rsidRPr="00F404D4" w:rsidRDefault="00EC1EBC" w:rsidP="006A6D81"/>
        </w:tc>
        <w:tc>
          <w:tcPr>
            <w:tcW w:w="7650" w:type="dxa"/>
          </w:tcPr>
          <w:p w14:paraId="36C1B045" w14:textId="77777777" w:rsidR="00EC1EBC" w:rsidRPr="00F404D4" w:rsidRDefault="00EC1EBC" w:rsidP="006A6D81">
            <w:pPr>
              <w:autoSpaceDE w:val="0"/>
              <w:autoSpaceDN w:val="0"/>
              <w:adjustRightInd w:val="0"/>
              <w:jc w:val="both"/>
              <w:rPr>
                <w:rFonts w:cs="HelveticaNeueLTStd-Lt"/>
                <w:color w:val="000000"/>
              </w:rPr>
            </w:pPr>
          </w:p>
          <w:p w14:paraId="3F9420E8"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Provides documented mappings and other reports related to trees and nodes that are linked and/or not linked - Mind Mapping Reports - clickable for expansion and contraction of indirect, obscure and unknown content relationships - view the requirements of multiple regulations and control and sets how they relate to each other. Reporting allows you to make educated decisions based on tangible information.</w:t>
            </w:r>
          </w:p>
          <w:p w14:paraId="30BF35F4" w14:textId="77777777" w:rsidR="00EC1EBC" w:rsidRPr="00F404D4" w:rsidRDefault="00EC1EBC" w:rsidP="006A6D81">
            <w:pPr>
              <w:autoSpaceDE w:val="0"/>
              <w:autoSpaceDN w:val="0"/>
              <w:adjustRightInd w:val="0"/>
              <w:jc w:val="both"/>
            </w:pPr>
          </w:p>
        </w:tc>
      </w:tr>
      <w:tr w:rsidR="00EC1EBC" w:rsidRPr="00F404D4" w14:paraId="403CAB81" w14:textId="77777777" w:rsidTr="006A6D81">
        <w:tc>
          <w:tcPr>
            <w:tcW w:w="1890" w:type="dxa"/>
            <w:shd w:val="clear" w:color="auto" w:fill="D9E2F3" w:themeFill="accent1" w:themeFillTint="33"/>
          </w:tcPr>
          <w:p w14:paraId="4CFF2022" w14:textId="77777777" w:rsidR="00EC1EBC" w:rsidRPr="00F404D4" w:rsidRDefault="00EC1EBC" w:rsidP="006A6D81">
            <w:pPr>
              <w:rPr>
                <w:rFonts w:cs="HelveticaNeueLTStd-Bd"/>
                <w:b/>
                <w:bCs/>
              </w:rPr>
            </w:pPr>
          </w:p>
          <w:p w14:paraId="7280841A" w14:textId="77777777" w:rsidR="00EC1EBC" w:rsidRPr="00F404D4" w:rsidRDefault="00EC1EBC" w:rsidP="006A6D81">
            <w:pPr>
              <w:rPr>
                <w:rFonts w:cs="HelveticaNeueLTStd-Bd"/>
                <w:b/>
                <w:bCs/>
              </w:rPr>
            </w:pPr>
            <w:r w:rsidRPr="00F404D4">
              <w:rPr>
                <w:rFonts w:cs="HelveticaNeueLTStd-Bd"/>
                <w:b/>
                <w:bCs/>
              </w:rPr>
              <w:t>Link Status Customization</w:t>
            </w:r>
          </w:p>
          <w:p w14:paraId="4758CBC9" w14:textId="77777777" w:rsidR="00EC1EBC" w:rsidRPr="00F404D4" w:rsidRDefault="00EC1EBC" w:rsidP="006A6D81"/>
          <w:p w14:paraId="348EBF0D" w14:textId="77777777" w:rsidR="00EC1EBC" w:rsidRPr="00F404D4" w:rsidRDefault="00EC1EBC" w:rsidP="006A6D81"/>
          <w:p w14:paraId="6344382D" w14:textId="77777777" w:rsidR="00EC1EBC" w:rsidRPr="00F404D4" w:rsidRDefault="00EC1EBC" w:rsidP="006A6D81"/>
          <w:p w14:paraId="4B2C0A1D" w14:textId="77777777" w:rsidR="00EC1EBC" w:rsidRPr="00F404D4" w:rsidRDefault="00EC1EBC" w:rsidP="006A6D81"/>
        </w:tc>
        <w:tc>
          <w:tcPr>
            <w:tcW w:w="7650" w:type="dxa"/>
          </w:tcPr>
          <w:p w14:paraId="738CC65C" w14:textId="77777777" w:rsidR="00EC1EBC" w:rsidRPr="00F404D4" w:rsidRDefault="00EC1EBC" w:rsidP="006A6D81">
            <w:pPr>
              <w:autoSpaceDE w:val="0"/>
              <w:autoSpaceDN w:val="0"/>
              <w:adjustRightInd w:val="0"/>
              <w:jc w:val="both"/>
              <w:rPr>
                <w:rFonts w:cs="HelveticaNeueLTStd-Lt"/>
                <w:color w:val="000000"/>
              </w:rPr>
            </w:pPr>
          </w:p>
          <w:p w14:paraId="7AA2B0BA"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Highly customizable interface to tailor status fields - how many there are and what they mean to the organization - to understand the “control-to-requirements” relationship, e.g. “Compliant; Exceeds Compliance; Non-Compliant” or even the name of the person mapping you have a reference point for questions.</w:t>
            </w:r>
          </w:p>
          <w:p w14:paraId="4E62D2C5" w14:textId="77777777" w:rsidR="00EC1EBC" w:rsidRPr="00F404D4" w:rsidRDefault="00EC1EBC" w:rsidP="006A6D81">
            <w:pPr>
              <w:autoSpaceDE w:val="0"/>
              <w:autoSpaceDN w:val="0"/>
              <w:adjustRightInd w:val="0"/>
              <w:jc w:val="both"/>
            </w:pPr>
          </w:p>
        </w:tc>
      </w:tr>
      <w:tr w:rsidR="00EC1EBC" w:rsidRPr="00F404D4" w14:paraId="6F88EC27" w14:textId="77777777" w:rsidTr="006A6D81">
        <w:tc>
          <w:tcPr>
            <w:tcW w:w="1890" w:type="dxa"/>
            <w:shd w:val="clear" w:color="auto" w:fill="D9E2F3" w:themeFill="accent1" w:themeFillTint="33"/>
          </w:tcPr>
          <w:p w14:paraId="728C48D4" w14:textId="77777777" w:rsidR="00EC1EBC" w:rsidRPr="00F404D4" w:rsidRDefault="00EC1EBC" w:rsidP="006A6D81">
            <w:pPr>
              <w:rPr>
                <w:rFonts w:cs="HelveticaNeueLTStd-Bd"/>
                <w:b/>
                <w:bCs/>
              </w:rPr>
            </w:pPr>
          </w:p>
          <w:p w14:paraId="0AD2EC79" w14:textId="77777777" w:rsidR="00EC1EBC" w:rsidRPr="00F404D4" w:rsidRDefault="00EC1EBC" w:rsidP="006A6D81">
            <w:pPr>
              <w:rPr>
                <w:rFonts w:cs="HelveticaNeueLTStd-Bd"/>
                <w:b/>
                <w:bCs/>
              </w:rPr>
            </w:pPr>
            <w:r w:rsidRPr="00F404D4">
              <w:rPr>
                <w:rFonts w:cs="HelveticaNeueLTStd-Bd"/>
                <w:b/>
                <w:bCs/>
              </w:rPr>
              <w:t>Trace Links Capability</w:t>
            </w:r>
          </w:p>
          <w:p w14:paraId="58C69062" w14:textId="77777777" w:rsidR="00EC1EBC" w:rsidRPr="00F404D4" w:rsidRDefault="00EC1EBC" w:rsidP="006A6D81"/>
        </w:tc>
        <w:tc>
          <w:tcPr>
            <w:tcW w:w="7650" w:type="dxa"/>
          </w:tcPr>
          <w:p w14:paraId="549DE2CE" w14:textId="77777777" w:rsidR="00EC1EBC" w:rsidRPr="00F404D4" w:rsidRDefault="00EC1EBC" w:rsidP="006A6D81">
            <w:pPr>
              <w:autoSpaceDE w:val="0"/>
              <w:autoSpaceDN w:val="0"/>
              <w:adjustRightInd w:val="0"/>
              <w:jc w:val="both"/>
              <w:rPr>
                <w:rFonts w:cs="HelveticaNeueLTStd-Lt"/>
                <w:color w:val="000000"/>
              </w:rPr>
            </w:pPr>
          </w:p>
          <w:p w14:paraId="4812E58F"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 xml:space="preserve">Provides visibility into how changes can impact other standards, regulations and best practices - you can trace links to indirect relationships to visually see the impact </w:t>
            </w:r>
            <w:r w:rsidRPr="00F404D4">
              <w:rPr>
                <w:rFonts w:cs="HelveticaNeueLTStd-Lt"/>
                <w:color w:val="000000"/>
              </w:rPr>
              <w:lastRenderedPageBreak/>
              <w:t>of a change before the change is made.</w:t>
            </w:r>
          </w:p>
          <w:p w14:paraId="17FD67EF" w14:textId="77777777" w:rsidR="00EC1EBC" w:rsidRPr="00F404D4" w:rsidRDefault="00EC1EBC" w:rsidP="006A6D81">
            <w:pPr>
              <w:autoSpaceDE w:val="0"/>
              <w:autoSpaceDN w:val="0"/>
              <w:adjustRightInd w:val="0"/>
              <w:jc w:val="both"/>
            </w:pPr>
          </w:p>
        </w:tc>
      </w:tr>
      <w:tr w:rsidR="00EC1EBC" w:rsidRPr="00F404D4" w14:paraId="41CD2A85" w14:textId="77777777" w:rsidTr="006A6D81">
        <w:trPr>
          <w:trHeight w:val="1106"/>
        </w:trPr>
        <w:tc>
          <w:tcPr>
            <w:tcW w:w="1890" w:type="dxa"/>
            <w:shd w:val="clear" w:color="auto" w:fill="D9E2F3" w:themeFill="accent1" w:themeFillTint="33"/>
          </w:tcPr>
          <w:p w14:paraId="72D87413" w14:textId="77777777" w:rsidR="00EC1EBC" w:rsidRPr="00F404D4" w:rsidRDefault="00EC1EBC" w:rsidP="006A6D81">
            <w:pPr>
              <w:rPr>
                <w:rFonts w:cs="HelveticaNeueLTStd-Bd"/>
                <w:b/>
                <w:bCs/>
              </w:rPr>
            </w:pPr>
          </w:p>
          <w:p w14:paraId="74E9E9EC" w14:textId="77777777" w:rsidR="00EC1EBC" w:rsidRPr="00F404D4" w:rsidRDefault="00EC1EBC" w:rsidP="006A6D81">
            <w:pPr>
              <w:rPr>
                <w:rFonts w:cs="HelveticaNeueLTStd-Bd"/>
                <w:b/>
                <w:bCs/>
              </w:rPr>
            </w:pPr>
            <w:r w:rsidRPr="00F404D4">
              <w:rPr>
                <w:rFonts w:cs="HelveticaNeueLTStd-Bd"/>
                <w:b/>
                <w:bCs/>
              </w:rPr>
              <w:t>Regulatory Evidence Repository</w:t>
            </w:r>
          </w:p>
          <w:p w14:paraId="4CBFE7AA" w14:textId="77777777" w:rsidR="00EC1EBC" w:rsidRPr="00F404D4" w:rsidRDefault="00EC1EBC" w:rsidP="006A6D81">
            <w:pPr>
              <w:rPr>
                <w:rFonts w:cs="HelveticaNeueLTStd-Bd"/>
                <w:b/>
                <w:bCs/>
              </w:rPr>
            </w:pPr>
          </w:p>
        </w:tc>
        <w:tc>
          <w:tcPr>
            <w:tcW w:w="7650" w:type="dxa"/>
          </w:tcPr>
          <w:p w14:paraId="79273201" w14:textId="77777777" w:rsidR="00EC1EBC" w:rsidRPr="00F404D4" w:rsidRDefault="00EC1EBC" w:rsidP="006A6D81">
            <w:pPr>
              <w:autoSpaceDE w:val="0"/>
              <w:autoSpaceDN w:val="0"/>
              <w:adjustRightInd w:val="0"/>
              <w:jc w:val="both"/>
              <w:rPr>
                <w:rFonts w:cs="HelveticaNeueLTStd-Lt"/>
                <w:color w:val="000000"/>
              </w:rPr>
            </w:pPr>
          </w:p>
          <w:p w14:paraId="6FB65AFA"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Easily attach authority documents to prove compliance and audit attestation.</w:t>
            </w:r>
          </w:p>
        </w:tc>
      </w:tr>
      <w:tr w:rsidR="00EC1EBC" w:rsidRPr="00F404D4" w14:paraId="0BE92212" w14:textId="77777777" w:rsidTr="006A6D81">
        <w:tc>
          <w:tcPr>
            <w:tcW w:w="1890" w:type="dxa"/>
            <w:shd w:val="clear" w:color="auto" w:fill="D9E2F3" w:themeFill="accent1" w:themeFillTint="33"/>
          </w:tcPr>
          <w:p w14:paraId="76E51A56" w14:textId="77777777" w:rsidR="00EC1EBC" w:rsidRPr="00F404D4" w:rsidRDefault="00EC1EBC" w:rsidP="006A6D81">
            <w:pPr>
              <w:autoSpaceDE w:val="0"/>
              <w:autoSpaceDN w:val="0"/>
              <w:adjustRightInd w:val="0"/>
              <w:rPr>
                <w:rFonts w:cs="HelveticaNeueLTStd-Bd"/>
                <w:b/>
                <w:bCs/>
              </w:rPr>
            </w:pPr>
          </w:p>
          <w:p w14:paraId="4E305645"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Work Flow</w:t>
            </w:r>
          </w:p>
          <w:p w14:paraId="2F6A66D1" w14:textId="77777777" w:rsidR="00EC1EBC" w:rsidRPr="00F404D4" w:rsidRDefault="00EC1EBC" w:rsidP="006A6D81">
            <w:pPr>
              <w:rPr>
                <w:rFonts w:cs="HelveticaNeueLTStd-Bd"/>
                <w:b/>
                <w:bCs/>
              </w:rPr>
            </w:pPr>
          </w:p>
        </w:tc>
        <w:tc>
          <w:tcPr>
            <w:tcW w:w="7650" w:type="dxa"/>
          </w:tcPr>
          <w:p w14:paraId="1FF719EC" w14:textId="77777777" w:rsidR="00EC1EBC" w:rsidRPr="00F404D4" w:rsidRDefault="00EC1EBC" w:rsidP="006A6D81">
            <w:pPr>
              <w:pStyle w:val="ListParagraph"/>
              <w:autoSpaceDE w:val="0"/>
              <w:autoSpaceDN w:val="0"/>
              <w:adjustRightInd w:val="0"/>
              <w:jc w:val="both"/>
              <w:rPr>
                <w:rFonts w:cs="HelveticaNeueLTStd-Lt"/>
                <w:color w:val="000000"/>
              </w:rPr>
            </w:pPr>
          </w:p>
          <w:p w14:paraId="65AA3CD6"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 xml:space="preserve">“Personal Workspaces” allow users to create, save and modify their own data to specific requirements and share workspaces for collaboration </w:t>
            </w:r>
          </w:p>
          <w:p w14:paraId="4EECD03B"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Task assignments tied to  compliance requirements</w:t>
            </w:r>
          </w:p>
          <w:p w14:paraId="6DFD5640"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Compliance sign-off</w:t>
            </w:r>
          </w:p>
          <w:p w14:paraId="2AE2C7E4"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Project management, workflow and tracking of project activities with intuitive color coding for status</w:t>
            </w:r>
          </w:p>
          <w:p w14:paraId="591B4C5E"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Powerful search capability for all content - comparative search and single search</w:t>
            </w:r>
          </w:p>
          <w:p w14:paraId="074DAA7D"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Conditional email notifications</w:t>
            </w:r>
          </w:p>
          <w:p w14:paraId="499225F2" w14:textId="77777777" w:rsidR="00EC1EBC" w:rsidRPr="00F404D4" w:rsidRDefault="00EC1EBC" w:rsidP="00EC1EBC">
            <w:pPr>
              <w:pStyle w:val="ListParagraph"/>
              <w:widowControl/>
              <w:numPr>
                <w:ilvl w:val="0"/>
                <w:numId w:val="1"/>
              </w:numPr>
              <w:autoSpaceDE w:val="0"/>
              <w:autoSpaceDN w:val="0"/>
              <w:adjustRightInd w:val="0"/>
              <w:contextualSpacing/>
              <w:jc w:val="both"/>
              <w:rPr>
                <w:rFonts w:cs="HelveticaNeueLTStd-Lt"/>
                <w:color w:val="000000"/>
              </w:rPr>
            </w:pPr>
            <w:r w:rsidRPr="00F404D4">
              <w:rPr>
                <w:rFonts w:cs="HelveticaNeueLTStd-Lt"/>
                <w:color w:val="000000"/>
              </w:rPr>
              <w:t xml:space="preserve"> Versioning and editing for attached documents</w:t>
            </w:r>
          </w:p>
          <w:p w14:paraId="06C69906" w14:textId="77777777" w:rsidR="00EC1EBC" w:rsidRPr="00F404D4" w:rsidRDefault="00EC1EBC" w:rsidP="006A6D81">
            <w:pPr>
              <w:pStyle w:val="ListParagraph"/>
              <w:autoSpaceDE w:val="0"/>
              <w:autoSpaceDN w:val="0"/>
              <w:adjustRightInd w:val="0"/>
              <w:jc w:val="both"/>
              <w:rPr>
                <w:rFonts w:cs="HelveticaNeueLTStd-Lt"/>
                <w:color w:val="000000"/>
              </w:rPr>
            </w:pPr>
          </w:p>
        </w:tc>
      </w:tr>
      <w:tr w:rsidR="00EC1EBC" w:rsidRPr="00F404D4" w14:paraId="432D5E2E" w14:textId="77777777" w:rsidTr="006A6D81">
        <w:tc>
          <w:tcPr>
            <w:tcW w:w="1890" w:type="dxa"/>
            <w:shd w:val="clear" w:color="auto" w:fill="D9E2F3" w:themeFill="accent1" w:themeFillTint="33"/>
          </w:tcPr>
          <w:p w14:paraId="09CCCA6F" w14:textId="77777777" w:rsidR="00EC1EBC" w:rsidRPr="00F404D4" w:rsidRDefault="00EC1EBC" w:rsidP="006A6D81">
            <w:pPr>
              <w:autoSpaceDE w:val="0"/>
              <w:autoSpaceDN w:val="0"/>
              <w:adjustRightInd w:val="0"/>
              <w:rPr>
                <w:rFonts w:cs="HelveticaNeueLTStd-Bd"/>
                <w:b/>
                <w:bCs/>
              </w:rPr>
            </w:pPr>
          </w:p>
          <w:p w14:paraId="107EB927"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Relationship Viewer/Visual Trace Links</w:t>
            </w:r>
          </w:p>
          <w:p w14:paraId="6891C2D1" w14:textId="77777777" w:rsidR="00EC1EBC" w:rsidRPr="00F404D4" w:rsidRDefault="00EC1EBC" w:rsidP="006A6D81">
            <w:pPr>
              <w:autoSpaceDE w:val="0"/>
              <w:autoSpaceDN w:val="0"/>
              <w:adjustRightInd w:val="0"/>
              <w:rPr>
                <w:rFonts w:cs="HelveticaNeueLTStd-Bd"/>
                <w:b/>
                <w:bCs/>
              </w:rPr>
            </w:pPr>
          </w:p>
        </w:tc>
        <w:tc>
          <w:tcPr>
            <w:tcW w:w="7650" w:type="dxa"/>
          </w:tcPr>
          <w:p w14:paraId="3AEBA7DD" w14:textId="77777777" w:rsidR="00EC1EBC" w:rsidRPr="00F404D4" w:rsidRDefault="00EC1EBC" w:rsidP="006A6D81">
            <w:pPr>
              <w:autoSpaceDE w:val="0"/>
              <w:autoSpaceDN w:val="0"/>
              <w:adjustRightInd w:val="0"/>
              <w:jc w:val="both"/>
              <w:rPr>
                <w:rFonts w:cs="HelveticaNeueLTStd-Lt"/>
                <w:color w:val="000000"/>
              </w:rPr>
            </w:pPr>
          </w:p>
          <w:p w14:paraId="7D939E40"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Interactively link your policies to an unlimited number of regulations for capture and sharing within your organization. Because a regulation becomes an object (colored bubbles), a simple click on the object of interest (in this case ITIL) instantly retrieves a view of the related framework. You can now provide a visual perspective of how policies, frameworks and infrastructures are all connected using a drag and drop capability to resize and arrange your view of mapped standards and their relationships. Grey lines indicate an indirect link and black lines indicate a direct link. No line means there is no link or relationship.</w:t>
            </w:r>
          </w:p>
          <w:p w14:paraId="232AFCB5"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5B25C2D8" w14:textId="77777777" w:rsidTr="006A6D81">
        <w:tc>
          <w:tcPr>
            <w:tcW w:w="1890" w:type="dxa"/>
            <w:shd w:val="clear" w:color="auto" w:fill="D9E2F3" w:themeFill="accent1" w:themeFillTint="33"/>
          </w:tcPr>
          <w:p w14:paraId="3E82EDEB" w14:textId="77777777" w:rsidR="00EC1EBC" w:rsidRPr="00F404D4" w:rsidRDefault="00EC1EBC" w:rsidP="006A6D81">
            <w:pPr>
              <w:autoSpaceDE w:val="0"/>
              <w:autoSpaceDN w:val="0"/>
              <w:adjustRightInd w:val="0"/>
              <w:rPr>
                <w:rFonts w:cs="HelveticaNeueLTStd-Bd"/>
                <w:b/>
                <w:bCs/>
              </w:rPr>
            </w:pPr>
          </w:p>
          <w:p w14:paraId="3FEE16BB"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Document Publishing</w:t>
            </w:r>
          </w:p>
        </w:tc>
        <w:tc>
          <w:tcPr>
            <w:tcW w:w="7650" w:type="dxa"/>
          </w:tcPr>
          <w:p w14:paraId="2BEACCEA" w14:textId="77777777" w:rsidR="00EC1EBC" w:rsidRPr="00F404D4" w:rsidRDefault="00EC1EBC" w:rsidP="006A6D81">
            <w:pPr>
              <w:autoSpaceDE w:val="0"/>
              <w:autoSpaceDN w:val="0"/>
              <w:adjustRightInd w:val="0"/>
              <w:jc w:val="both"/>
              <w:rPr>
                <w:rFonts w:cs="HelveticaNeueLTStd-Lt"/>
                <w:color w:val="000000"/>
              </w:rPr>
            </w:pPr>
          </w:p>
          <w:p w14:paraId="69C403B3"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This feature will allow organizations to share important documents for internal governance and track acceptance of policy for audit reviews using a common workspace that allows users to email documents to internal and external users for review, acknowledgement and sign off if required. Provides and allows Document Control capability.</w:t>
            </w:r>
          </w:p>
          <w:p w14:paraId="1FCEC9F0"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11F57A96" w14:textId="77777777" w:rsidTr="006A6D81">
        <w:tc>
          <w:tcPr>
            <w:tcW w:w="1890" w:type="dxa"/>
            <w:shd w:val="clear" w:color="auto" w:fill="D9E2F3" w:themeFill="accent1" w:themeFillTint="33"/>
          </w:tcPr>
          <w:p w14:paraId="52B0BD52" w14:textId="77777777" w:rsidR="00EC1EBC" w:rsidRPr="00F404D4" w:rsidRDefault="00EC1EBC" w:rsidP="006A6D81">
            <w:pPr>
              <w:autoSpaceDE w:val="0"/>
              <w:autoSpaceDN w:val="0"/>
              <w:adjustRightInd w:val="0"/>
              <w:rPr>
                <w:rFonts w:cs="HelveticaNeueLTStd-Bd"/>
                <w:b/>
                <w:bCs/>
              </w:rPr>
            </w:pPr>
          </w:p>
          <w:p w14:paraId="615BDF5C"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Custom Reports</w:t>
            </w:r>
          </w:p>
          <w:p w14:paraId="1C94ADD5" w14:textId="77777777" w:rsidR="00EC1EBC" w:rsidRPr="00F404D4" w:rsidRDefault="00EC1EBC" w:rsidP="006A6D81">
            <w:pPr>
              <w:autoSpaceDE w:val="0"/>
              <w:autoSpaceDN w:val="0"/>
              <w:adjustRightInd w:val="0"/>
              <w:rPr>
                <w:rFonts w:cs="HelveticaNeueLTStd-Bd"/>
                <w:b/>
                <w:bCs/>
              </w:rPr>
            </w:pPr>
          </w:p>
        </w:tc>
        <w:tc>
          <w:tcPr>
            <w:tcW w:w="7650" w:type="dxa"/>
          </w:tcPr>
          <w:p w14:paraId="0EDD7CF4" w14:textId="77777777" w:rsidR="00EC1EBC" w:rsidRPr="00F404D4" w:rsidRDefault="00EC1EBC" w:rsidP="006A6D81">
            <w:pPr>
              <w:autoSpaceDE w:val="0"/>
              <w:autoSpaceDN w:val="0"/>
              <w:adjustRightInd w:val="0"/>
              <w:jc w:val="both"/>
              <w:rPr>
                <w:rFonts w:cs="HelveticaNeueLTStd-Lt"/>
                <w:color w:val="000000"/>
              </w:rPr>
            </w:pPr>
          </w:p>
          <w:p w14:paraId="620F556F"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Enables organizations to put their own corporate branding and report description on output reports. Interactive graphs allow the use of dynamically select filters to create reports in a variety of styles and formats.</w:t>
            </w:r>
          </w:p>
          <w:p w14:paraId="014D7764" w14:textId="77777777" w:rsidR="00EC1EBC" w:rsidRPr="00F404D4" w:rsidRDefault="00EC1EBC" w:rsidP="006A6D81">
            <w:pPr>
              <w:autoSpaceDE w:val="0"/>
              <w:autoSpaceDN w:val="0"/>
              <w:adjustRightInd w:val="0"/>
              <w:jc w:val="both"/>
              <w:rPr>
                <w:rFonts w:cs="HelveticaNeueLTStd-Lt"/>
                <w:color w:val="000000"/>
              </w:rPr>
            </w:pPr>
          </w:p>
          <w:p w14:paraId="13E9F8AB"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7360271F" w14:textId="77777777" w:rsidTr="006A6D81">
        <w:tc>
          <w:tcPr>
            <w:tcW w:w="1890" w:type="dxa"/>
            <w:shd w:val="clear" w:color="auto" w:fill="D9E2F3" w:themeFill="accent1" w:themeFillTint="33"/>
          </w:tcPr>
          <w:p w14:paraId="116C8FE5" w14:textId="77777777" w:rsidR="00EC1EBC" w:rsidRPr="00F404D4" w:rsidRDefault="00EC1EBC" w:rsidP="006A6D81">
            <w:pPr>
              <w:autoSpaceDE w:val="0"/>
              <w:autoSpaceDN w:val="0"/>
              <w:adjustRightInd w:val="0"/>
              <w:rPr>
                <w:rFonts w:cs="HelveticaNeueLTStd-Bd"/>
                <w:b/>
                <w:bCs/>
              </w:rPr>
            </w:pPr>
          </w:p>
          <w:p w14:paraId="0CD8F34A"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Compliance Mapping Wizards</w:t>
            </w:r>
          </w:p>
          <w:p w14:paraId="79FA045B" w14:textId="77777777" w:rsidR="00EC1EBC" w:rsidRPr="00F404D4" w:rsidRDefault="00EC1EBC" w:rsidP="006A6D81">
            <w:pPr>
              <w:autoSpaceDE w:val="0"/>
              <w:autoSpaceDN w:val="0"/>
              <w:adjustRightInd w:val="0"/>
              <w:rPr>
                <w:rFonts w:cs="HelveticaNeueLTStd-Bd"/>
                <w:b/>
                <w:bCs/>
              </w:rPr>
            </w:pPr>
          </w:p>
        </w:tc>
        <w:tc>
          <w:tcPr>
            <w:tcW w:w="7650" w:type="dxa"/>
          </w:tcPr>
          <w:p w14:paraId="07860E89" w14:textId="77777777" w:rsidR="00EC1EBC" w:rsidRPr="00F404D4" w:rsidRDefault="00EC1EBC" w:rsidP="006A6D81">
            <w:pPr>
              <w:autoSpaceDE w:val="0"/>
              <w:autoSpaceDN w:val="0"/>
              <w:adjustRightInd w:val="0"/>
              <w:jc w:val="both"/>
              <w:rPr>
                <w:rFonts w:cs="HelveticaNeueLTStd-Lt"/>
                <w:color w:val="000000"/>
              </w:rPr>
            </w:pPr>
          </w:p>
          <w:p w14:paraId="3CE85631" w14:textId="3C358DCD"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 xml:space="preserve">One of the core capabilities of Compliance Mapper has been its ability to link multiple regulations, standards and policies together. The functionality features that analyze </w:t>
            </w:r>
            <w:r w:rsidRPr="00F404D4">
              <w:rPr>
                <w:rFonts w:cs="HelveticaNeueLTStd-Lt"/>
                <w:color w:val="000000"/>
              </w:rPr>
              <w:t>data and</w:t>
            </w:r>
            <w:r w:rsidRPr="00F404D4">
              <w:rPr>
                <w:rFonts w:cs="HelveticaNeueLTStd-Lt"/>
                <w:color w:val="000000"/>
              </w:rPr>
              <w:t xml:space="preserve"> create filters for a clear line of site have been enhanced with the use of two new ‘Mapping Wizards’. Now a mapped set of standards and their </w:t>
            </w:r>
            <w:r w:rsidRPr="00F404D4">
              <w:rPr>
                <w:rFonts w:cs="HelveticaNeueLTStd-Lt"/>
                <w:color w:val="000000"/>
              </w:rPr>
              <w:lastRenderedPageBreak/>
              <w:t>attributes can be customized and clearly seen with the link status of compliance (see example - Covered, Compliant, Meets, Exceeds or Doesn’t Meet) in one complete picture.</w:t>
            </w:r>
          </w:p>
          <w:p w14:paraId="383F6706"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1F37A5A1" w14:textId="77777777" w:rsidTr="006A6D81">
        <w:tc>
          <w:tcPr>
            <w:tcW w:w="1890" w:type="dxa"/>
            <w:shd w:val="clear" w:color="auto" w:fill="D9E2F3" w:themeFill="accent1" w:themeFillTint="33"/>
          </w:tcPr>
          <w:p w14:paraId="4AC9B736" w14:textId="77777777" w:rsidR="00EC1EBC" w:rsidRPr="00F404D4" w:rsidRDefault="00EC1EBC" w:rsidP="006A6D81">
            <w:pPr>
              <w:autoSpaceDE w:val="0"/>
              <w:autoSpaceDN w:val="0"/>
              <w:adjustRightInd w:val="0"/>
              <w:rPr>
                <w:rFonts w:cs="HelveticaNeueLTStd-Bd"/>
                <w:b/>
                <w:bCs/>
              </w:rPr>
            </w:pPr>
          </w:p>
          <w:p w14:paraId="378682A3"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Tree Relationship Wizard</w:t>
            </w:r>
          </w:p>
          <w:p w14:paraId="3E4E6FE5" w14:textId="77777777" w:rsidR="00EC1EBC" w:rsidRPr="00F404D4" w:rsidRDefault="00EC1EBC" w:rsidP="006A6D81">
            <w:pPr>
              <w:autoSpaceDE w:val="0"/>
              <w:autoSpaceDN w:val="0"/>
              <w:adjustRightInd w:val="0"/>
              <w:rPr>
                <w:rFonts w:cs="HelveticaNeueLTStd-Bd"/>
                <w:b/>
                <w:bCs/>
              </w:rPr>
            </w:pPr>
          </w:p>
        </w:tc>
        <w:tc>
          <w:tcPr>
            <w:tcW w:w="7650" w:type="dxa"/>
          </w:tcPr>
          <w:p w14:paraId="6227855F" w14:textId="77777777" w:rsidR="00EC1EBC" w:rsidRPr="00F404D4" w:rsidRDefault="00EC1EBC" w:rsidP="006A6D81">
            <w:pPr>
              <w:autoSpaceDE w:val="0"/>
              <w:autoSpaceDN w:val="0"/>
              <w:adjustRightInd w:val="0"/>
              <w:jc w:val="both"/>
              <w:rPr>
                <w:rFonts w:cs="HelveticaNeueLTStd-Lt"/>
                <w:color w:val="000000"/>
              </w:rPr>
            </w:pPr>
          </w:p>
          <w:p w14:paraId="21347DE8"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 xml:space="preserve">A powerful touch point identification tool that shows the relationship between multiple regulations, standards and an enterprise’s policies in one report that is easily exportable to CSV, PDF or HTML. The granularity of the report is up to the user. Now a report can be generated to display either an all-inclusive list of polices or controls, or just </w:t>
            </w:r>
            <w:proofErr w:type="gramStart"/>
            <w:r w:rsidRPr="00F404D4">
              <w:rPr>
                <w:rFonts w:cs="HelveticaNeueLTStd-Lt"/>
                <w:color w:val="000000"/>
              </w:rPr>
              <w:t>one in particular</w:t>
            </w:r>
            <w:proofErr w:type="gramEnd"/>
            <w:r w:rsidRPr="00F404D4">
              <w:rPr>
                <w:rFonts w:cs="HelveticaNeueLTStd-Lt"/>
                <w:color w:val="000000"/>
              </w:rPr>
              <w:t>.</w:t>
            </w:r>
          </w:p>
          <w:p w14:paraId="75CEF270"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11846AFD" w14:textId="77777777" w:rsidTr="006A6D81">
        <w:trPr>
          <w:trHeight w:val="1970"/>
        </w:trPr>
        <w:tc>
          <w:tcPr>
            <w:tcW w:w="1890" w:type="dxa"/>
            <w:shd w:val="clear" w:color="auto" w:fill="D9E2F3" w:themeFill="accent1" w:themeFillTint="33"/>
          </w:tcPr>
          <w:p w14:paraId="34D9DD8B" w14:textId="77777777" w:rsidR="00EC1EBC" w:rsidRPr="00F404D4" w:rsidRDefault="00EC1EBC" w:rsidP="006A6D81">
            <w:pPr>
              <w:autoSpaceDE w:val="0"/>
              <w:autoSpaceDN w:val="0"/>
              <w:adjustRightInd w:val="0"/>
              <w:rPr>
                <w:rFonts w:cs="HelveticaNeueLTStd-Bd"/>
                <w:b/>
                <w:bCs/>
              </w:rPr>
            </w:pPr>
          </w:p>
          <w:p w14:paraId="2514DEFC"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Trace Links Wizard</w:t>
            </w:r>
          </w:p>
        </w:tc>
        <w:tc>
          <w:tcPr>
            <w:tcW w:w="7650" w:type="dxa"/>
          </w:tcPr>
          <w:p w14:paraId="2CBB39F2" w14:textId="77777777" w:rsidR="00EC1EBC" w:rsidRPr="00F404D4" w:rsidRDefault="00EC1EBC" w:rsidP="006A6D81">
            <w:pPr>
              <w:autoSpaceDE w:val="0"/>
              <w:autoSpaceDN w:val="0"/>
              <w:adjustRightInd w:val="0"/>
              <w:jc w:val="both"/>
              <w:rPr>
                <w:rFonts w:cs="HelveticaNeueLTStd-Lt"/>
                <w:color w:val="000000"/>
              </w:rPr>
            </w:pPr>
          </w:p>
          <w:p w14:paraId="25AACEEF" w14:textId="77777777" w:rsidR="00EC1EBC" w:rsidRPr="00F404D4" w:rsidRDefault="00EC1EBC" w:rsidP="006A6D81">
            <w:pPr>
              <w:autoSpaceDE w:val="0"/>
              <w:autoSpaceDN w:val="0"/>
              <w:adjustRightInd w:val="0"/>
              <w:jc w:val="both"/>
              <w:rPr>
                <w:rFonts w:cs="HelveticaNeueLTStd-Lt"/>
                <w:color w:val="000000"/>
              </w:rPr>
            </w:pPr>
            <w:r w:rsidRPr="00F404D4">
              <w:rPr>
                <w:rFonts w:cs="HelveticaNeueLTStd-Lt"/>
                <w:color w:val="000000"/>
              </w:rPr>
              <w:t>A powerful analysis tool that lets a user see the paths between different regulations, standards and policies and how they are related. Powerful filtering options enable users to select which controls have been marked as compliant and which ones still need review – all while seeing the upstream and downstream impacts of policy controls. The line of site from start to end shows the different controls that may be impacted. Specific trace lines can also be excluded from the overall view. As an example, you can choose not to include a specific infrastructures or outputs in your analysis reporting. Custom outputs for assessments showing mapped results across multiple regulations for one assessment.</w:t>
            </w:r>
          </w:p>
          <w:p w14:paraId="24D16E62"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09E3771F" w14:textId="77777777" w:rsidTr="006A6D81">
        <w:tc>
          <w:tcPr>
            <w:tcW w:w="1890" w:type="dxa"/>
            <w:shd w:val="clear" w:color="auto" w:fill="D9E2F3" w:themeFill="accent1" w:themeFillTint="33"/>
          </w:tcPr>
          <w:p w14:paraId="20092708" w14:textId="77777777" w:rsidR="00EC1EBC" w:rsidRPr="00F404D4" w:rsidRDefault="00EC1EBC" w:rsidP="006A6D81">
            <w:pPr>
              <w:autoSpaceDE w:val="0"/>
              <w:autoSpaceDN w:val="0"/>
              <w:adjustRightInd w:val="0"/>
              <w:rPr>
                <w:rFonts w:cs="HelveticaNeueLTStd-Bd"/>
                <w:b/>
                <w:bCs/>
              </w:rPr>
            </w:pPr>
          </w:p>
          <w:p w14:paraId="1A2B1D73"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MyRiskAssessor</w:t>
            </w:r>
          </w:p>
        </w:tc>
        <w:tc>
          <w:tcPr>
            <w:tcW w:w="7650" w:type="dxa"/>
          </w:tcPr>
          <w:p w14:paraId="03157975" w14:textId="77777777" w:rsidR="00EC1EBC" w:rsidRPr="00F404D4" w:rsidRDefault="00EC1EBC" w:rsidP="006A6D81">
            <w:pPr>
              <w:autoSpaceDE w:val="0"/>
              <w:autoSpaceDN w:val="0"/>
              <w:adjustRightInd w:val="0"/>
              <w:jc w:val="both"/>
              <w:rPr>
                <w:rFonts w:cs="Calibri"/>
              </w:rPr>
            </w:pPr>
          </w:p>
          <w:p w14:paraId="69E12537" w14:textId="77777777" w:rsidR="00EC1EBC" w:rsidRPr="00F404D4" w:rsidRDefault="00EC1EBC" w:rsidP="006A6D81">
            <w:pPr>
              <w:autoSpaceDE w:val="0"/>
              <w:autoSpaceDN w:val="0"/>
              <w:adjustRightInd w:val="0"/>
              <w:jc w:val="both"/>
              <w:rPr>
                <w:rFonts w:cs="Calibri"/>
              </w:rPr>
            </w:pPr>
            <w:r w:rsidRPr="00F404D4">
              <w:rPr>
                <w:rFonts w:cs="Calibri"/>
              </w:rPr>
              <w:t xml:space="preserve">Integrated Risk tool for conducting Asset and CMDB risk assessments. Comes with prepopulated threat libraries (including vulnerabilities and controls already linked) for ISO 27001 and NIST 800-53. This tool also includes an easy to use Business Impact Assessment </w:t>
            </w:r>
            <w:r>
              <w:rPr>
                <w:rFonts w:cs="Calibri"/>
              </w:rPr>
              <w:t xml:space="preserve">(BIA) </w:t>
            </w:r>
            <w:r w:rsidRPr="00F404D4">
              <w:rPr>
                <w:rFonts w:cs="Calibri"/>
              </w:rPr>
              <w:t>capability and Assessment interface for combined and integrated audits and assessments.</w:t>
            </w:r>
          </w:p>
          <w:p w14:paraId="7D5D9329" w14:textId="77777777" w:rsidR="00EC1EBC" w:rsidRPr="00F404D4" w:rsidRDefault="00EC1EBC" w:rsidP="006A6D81">
            <w:pPr>
              <w:autoSpaceDE w:val="0"/>
              <w:autoSpaceDN w:val="0"/>
              <w:adjustRightInd w:val="0"/>
              <w:jc w:val="both"/>
              <w:rPr>
                <w:rFonts w:cs="HelveticaNeueLTStd-Lt"/>
                <w:color w:val="000000"/>
              </w:rPr>
            </w:pPr>
          </w:p>
        </w:tc>
      </w:tr>
      <w:tr w:rsidR="00EC1EBC" w:rsidRPr="00F404D4" w14:paraId="587028CA" w14:textId="77777777" w:rsidTr="006A6D81">
        <w:tc>
          <w:tcPr>
            <w:tcW w:w="1890" w:type="dxa"/>
            <w:shd w:val="clear" w:color="auto" w:fill="D9E2F3" w:themeFill="accent1" w:themeFillTint="33"/>
          </w:tcPr>
          <w:p w14:paraId="765D9109" w14:textId="77777777" w:rsidR="00EC1EBC" w:rsidRPr="00F404D4" w:rsidRDefault="00EC1EBC" w:rsidP="006A6D81">
            <w:pPr>
              <w:autoSpaceDE w:val="0"/>
              <w:autoSpaceDN w:val="0"/>
              <w:adjustRightInd w:val="0"/>
              <w:rPr>
                <w:rFonts w:cs="HelveticaNeueLTStd-Bd"/>
                <w:b/>
                <w:bCs/>
              </w:rPr>
            </w:pPr>
          </w:p>
          <w:p w14:paraId="7E920FFC"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 xml:space="preserve">Templates </w:t>
            </w:r>
          </w:p>
        </w:tc>
        <w:tc>
          <w:tcPr>
            <w:tcW w:w="7650" w:type="dxa"/>
          </w:tcPr>
          <w:p w14:paraId="447C315B" w14:textId="77777777" w:rsidR="00EC1EBC" w:rsidRPr="00F404D4" w:rsidRDefault="00EC1EBC" w:rsidP="006A6D81">
            <w:pPr>
              <w:autoSpaceDE w:val="0"/>
              <w:autoSpaceDN w:val="0"/>
              <w:adjustRightInd w:val="0"/>
              <w:jc w:val="both"/>
              <w:rPr>
                <w:rFonts w:cs="Calibri"/>
              </w:rPr>
            </w:pPr>
          </w:p>
          <w:p w14:paraId="6B7E3ECE" w14:textId="77777777" w:rsidR="00EC1EBC" w:rsidRPr="00F404D4" w:rsidRDefault="00EC1EBC" w:rsidP="006A6D81">
            <w:pPr>
              <w:autoSpaceDE w:val="0"/>
              <w:autoSpaceDN w:val="0"/>
              <w:adjustRightInd w:val="0"/>
              <w:jc w:val="both"/>
              <w:rPr>
                <w:rFonts w:cs="Calibri"/>
              </w:rPr>
            </w:pPr>
            <w:r w:rsidRPr="00F404D4">
              <w:rPr>
                <w:rFonts w:cs="Calibri"/>
              </w:rPr>
              <w:t>Customized Templates for flexible data inputs i.e. create Incident Management, Help Desk, Corrective Actions, CMDB inputs tailored to your needs. Dropdowns options include Text; Dates and customized options (Yes/No – Follow up etc.).</w:t>
            </w:r>
            <w:r>
              <w:rPr>
                <w:rFonts w:cs="Calibri"/>
              </w:rPr>
              <w:t xml:space="preserve"> Attach additional and backup information to both BIAs and Asset Risk.</w:t>
            </w:r>
          </w:p>
          <w:p w14:paraId="653C615D" w14:textId="77777777" w:rsidR="00EC1EBC" w:rsidRPr="00F404D4" w:rsidRDefault="00EC1EBC" w:rsidP="006A6D81">
            <w:pPr>
              <w:autoSpaceDE w:val="0"/>
              <w:autoSpaceDN w:val="0"/>
              <w:adjustRightInd w:val="0"/>
              <w:jc w:val="both"/>
              <w:rPr>
                <w:rFonts w:cs="Calibri"/>
              </w:rPr>
            </w:pPr>
          </w:p>
        </w:tc>
      </w:tr>
      <w:tr w:rsidR="00EC1EBC" w:rsidRPr="00F404D4" w14:paraId="023ED42E" w14:textId="77777777" w:rsidTr="006A6D81">
        <w:tc>
          <w:tcPr>
            <w:tcW w:w="1890" w:type="dxa"/>
            <w:shd w:val="clear" w:color="auto" w:fill="D9E2F3" w:themeFill="accent1" w:themeFillTint="33"/>
          </w:tcPr>
          <w:p w14:paraId="61D9BED3" w14:textId="77777777" w:rsidR="00EC1EBC" w:rsidRPr="00F404D4" w:rsidRDefault="00EC1EBC" w:rsidP="006A6D81">
            <w:pPr>
              <w:autoSpaceDE w:val="0"/>
              <w:autoSpaceDN w:val="0"/>
              <w:adjustRightInd w:val="0"/>
              <w:rPr>
                <w:rFonts w:cs="HelveticaNeueLTStd-Bd"/>
                <w:b/>
                <w:bCs/>
              </w:rPr>
            </w:pPr>
          </w:p>
          <w:p w14:paraId="797A7EA3"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Assessments</w:t>
            </w:r>
          </w:p>
        </w:tc>
        <w:tc>
          <w:tcPr>
            <w:tcW w:w="7650" w:type="dxa"/>
          </w:tcPr>
          <w:p w14:paraId="6B59392F" w14:textId="77777777" w:rsidR="00EC1EBC" w:rsidRPr="00F404D4" w:rsidRDefault="00EC1EBC" w:rsidP="006A6D81">
            <w:pPr>
              <w:autoSpaceDE w:val="0"/>
              <w:autoSpaceDN w:val="0"/>
              <w:adjustRightInd w:val="0"/>
              <w:jc w:val="both"/>
              <w:rPr>
                <w:rFonts w:cs="Calibri"/>
              </w:rPr>
            </w:pPr>
          </w:p>
          <w:p w14:paraId="58F3B795" w14:textId="71030D28" w:rsidR="00EC1EBC" w:rsidRPr="00F404D4" w:rsidRDefault="00EC1EBC" w:rsidP="006A6D81">
            <w:pPr>
              <w:autoSpaceDE w:val="0"/>
              <w:autoSpaceDN w:val="0"/>
              <w:adjustRightInd w:val="0"/>
              <w:jc w:val="both"/>
              <w:rPr>
                <w:rFonts w:cs="Calibri"/>
              </w:rPr>
            </w:pPr>
            <w:r w:rsidRPr="00F404D4">
              <w:rPr>
                <w:rFonts w:cs="Calibri"/>
              </w:rPr>
              <w:t>Powerful assessment capability</w:t>
            </w:r>
            <w:r w:rsidRPr="00F404D4">
              <w:rPr>
                <w:rFonts w:cs="Calibri"/>
              </w:rPr>
              <w:t xml:space="preserve"> includes customization of answer sets, conditional jumps, individual question weightings, mapping of results across multiple requirements (regulations, standards and best practices) and extensive reporting (gap, comparative, mapping and graphical views). Mapped Assessments provide the capability to conduct integrated assessments showing a single view for assessment results across multiple requirements (regulations, standards, best practices or custom content). </w:t>
            </w:r>
          </w:p>
          <w:p w14:paraId="18D6C48B" w14:textId="77777777" w:rsidR="00EC1EBC" w:rsidRPr="00F404D4" w:rsidRDefault="00EC1EBC" w:rsidP="006A6D81">
            <w:pPr>
              <w:autoSpaceDE w:val="0"/>
              <w:autoSpaceDN w:val="0"/>
              <w:adjustRightInd w:val="0"/>
              <w:jc w:val="both"/>
              <w:rPr>
                <w:rFonts w:cs="Calibri"/>
              </w:rPr>
            </w:pPr>
          </w:p>
        </w:tc>
      </w:tr>
      <w:tr w:rsidR="00EC1EBC" w:rsidRPr="00F404D4" w14:paraId="30BD53B4" w14:textId="77777777" w:rsidTr="006A6D81">
        <w:tc>
          <w:tcPr>
            <w:tcW w:w="1890" w:type="dxa"/>
            <w:shd w:val="clear" w:color="auto" w:fill="D9E2F3" w:themeFill="accent1" w:themeFillTint="33"/>
          </w:tcPr>
          <w:p w14:paraId="3F5E875B" w14:textId="77777777" w:rsidR="00EC1EBC" w:rsidRPr="00F404D4" w:rsidRDefault="00EC1EBC" w:rsidP="006A6D81">
            <w:pPr>
              <w:autoSpaceDE w:val="0"/>
              <w:autoSpaceDN w:val="0"/>
              <w:adjustRightInd w:val="0"/>
              <w:rPr>
                <w:rFonts w:cs="HelveticaNeueLTStd-Bd"/>
                <w:b/>
                <w:bCs/>
              </w:rPr>
            </w:pPr>
          </w:p>
          <w:p w14:paraId="287B9311"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Powerful import capability</w:t>
            </w:r>
          </w:p>
        </w:tc>
        <w:tc>
          <w:tcPr>
            <w:tcW w:w="7650" w:type="dxa"/>
          </w:tcPr>
          <w:p w14:paraId="27C5B7F6" w14:textId="77777777" w:rsidR="00EC1EBC" w:rsidRPr="00F404D4" w:rsidRDefault="00EC1EBC" w:rsidP="006A6D81">
            <w:pPr>
              <w:autoSpaceDE w:val="0"/>
              <w:autoSpaceDN w:val="0"/>
              <w:adjustRightInd w:val="0"/>
              <w:jc w:val="both"/>
              <w:rPr>
                <w:rFonts w:cs="Calibri"/>
              </w:rPr>
            </w:pPr>
          </w:p>
          <w:p w14:paraId="672F2877" w14:textId="77777777" w:rsidR="00EC1EBC" w:rsidRPr="00F404D4" w:rsidRDefault="00EC1EBC" w:rsidP="006A6D81">
            <w:pPr>
              <w:autoSpaceDE w:val="0"/>
              <w:autoSpaceDN w:val="0"/>
              <w:adjustRightInd w:val="0"/>
              <w:jc w:val="both"/>
              <w:rPr>
                <w:rFonts w:cs="Calibri"/>
              </w:rPr>
            </w:pPr>
            <w:r w:rsidRPr="00F404D4">
              <w:rPr>
                <w:rFonts w:cs="Calibri"/>
              </w:rPr>
              <w:t xml:space="preserve">Import existing content (user content) from excel spreadsheets, pdf’s, word documents or any other sources easily and quickly. </w:t>
            </w:r>
          </w:p>
          <w:p w14:paraId="17303DBE" w14:textId="77777777" w:rsidR="00EC1EBC" w:rsidRPr="00F404D4" w:rsidRDefault="00EC1EBC" w:rsidP="006A6D81">
            <w:pPr>
              <w:autoSpaceDE w:val="0"/>
              <w:autoSpaceDN w:val="0"/>
              <w:adjustRightInd w:val="0"/>
              <w:jc w:val="both"/>
              <w:rPr>
                <w:rFonts w:cs="Calibri"/>
              </w:rPr>
            </w:pPr>
          </w:p>
        </w:tc>
      </w:tr>
      <w:tr w:rsidR="00EC1EBC" w:rsidRPr="00F404D4" w14:paraId="25565E0A" w14:textId="77777777" w:rsidTr="006A6D81">
        <w:tc>
          <w:tcPr>
            <w:tcW w:w="1890" w:type="dxa"/>
            <w:shd w:val="clear" w:color="auto" w:fill="D9E2F3" w:themeFill="accent1" w:themeFillTint="33"/>
          </w:tcPr>
          <w:p w14:paraId="6A40E446" w14:textId="77777777" w:rsidR="00EC1EBC" w:rsidRPr="00F404D4" w:rsidRDefault="00EC1EBC" w:rsidP="006A6D81">
            <w:pPr>
              <w:autoSpaceDE w:val="0"/>
              <w:autoSpaceDN w:val="0"/>
              <w:adjustRightInd w:val="0"/>
              <w:rPr>
                <w:rFonts w:cs="HelveticaNeueLTStd-Bd"/>
                <w:b/>
                <w:bCs/>
              </w:rPr>
            </w:pPr>
          </w:p>
          <w:p w14:paraId="568240FF"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 xml:space="preserve">Report saving </w:t>
            </w:r>
          </w:p>
          <w:p w14:paraId="5E04623B" w14:textId="77777777" w:rsidR="00EC1EBC" w:rsidRPr="00F404D4" w:rsidRDefault="00EC1EBC" w:rsidP="006A6D81">
            <w:pPr>
              <w:autoSpaceDE w:val="0"/>
              <w:autoSpaceDN w:val="0"/>
              <w:adjustRightInd w:val="0"/>
              <w:rPr>
                <w:rFonts w:cs="HelveticaNeueLTStd-Bd"/>
                <w:b/>
                <w:bCs/>
              </w:rPr>
            </w:pPr>
          </w:p>
        </w:tc>
        <w:tc>
          <w:tcPr>
            <w:tcW w:w="7650" w:type="dxa"/>
          </w:tcPr>
          <w:p w14:paraId="69396B57" w14:textId="77777777" w:rsidR="00EC1EBC" w:rsidRPr="00F404D4" w:rsidRDefault="00EC1EBC" w:rsidP="006A6D81">
            <w:pPr>
              <w:autoSpaceDE w:val="0"/>
              <w:autoSpaceDN w:val="0"/>
              <w:adjustRightInd w:val="0"/>
              <w:jc w:val="both"/>
              <w:rPr>
                <w:rFonts w:cs="Calibri"/>
              </w:rPr>
            </w:pPr>
          </w:p>
          <w:p w14:paraId="5AD7D6C0" w14:textId="77777777" w:rsidR="00EC1EBC" w:rsidRPr="00F404D4" w:rsidRDefault="00EC1EBC" w:rsidP="006A6D81">
            <w:pPr>
              <w:autoSpaceDE w:val="0"/>
              <w:autoSpaceDN w:val="0"/>
              <w:adjustRightInd w:val="0"/>
              <w:jc w:val="both"/>
              <w:rPr>
                <w:rFonts w:cs="Calibri"/>
              </w:rPr>
            </w:pPr>
            <w:r w:rsidRPr="00F404D4">
              <w:rPr>
                <w:rFonts w:cs="Calibri"/>
              </w:rPr>
              <w:t>Create and save customized reports for future using preset report settings</w:t>
            </w:r>
          </w:p>
        </w:tc>
      </w:tr>
      <w:tr w:rsidR="00EC1EBC" w:rsidRPr="00F404D4" w14:paraId="5688AD1F" w14:textId="77777777" w:rsidTr="006A6D81">
        <w:tc>
          <w:tcPr>
            <w:tcW w:w="1890" w:type="dxa"/>
            <w:shd w:val="clear" w:color="auto" w:fill="D9E2F3" w:themeFill="accent1" w:themeFillTint="33"/>
          </w:tcPr>
          <w:p w14:paraId="7D627ABF" w14:textId="77777777" w:rsidR="00EC1EBC" w:rsidRPr="00F404D4" w:rsidRDefault="00EC1EBC" w:rsidP="006A6D81">
            <w:pPr>
              <w:autoSpaceDE w:val="0"/>
              <w:autoSpaceDN w:val="0"/>
              <w:adjustRightInd w:val="0"/>
              <w:rPr>
                <w:rFonts w:cs="HelveticaNeueLTStd-Bd"/>
                <w:b/>
                <w:bCs/>
              </w:rPr>
            </w:pPr>
          </w:p>
          <w:p w14:paraId="460BFEC7"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Corporate Branding</w:t>
            </w:r>
          </w:p>
          <w:p w14:paraId="5539E8D7" w14:textId="77777777" w:rsidR="00EC1EBC" w:rsidRPr="00F404D4" w:rsidRDefault="00EC1EBC" w:rsidP="006A6D81">
            <w:pPr>
              <w:autoSpaceDE w:val="0"/>
              <w:autoSpaceDN w:val="0"/>
              <w:adjustRightInd w:val="0"/>
              <w:rPr>
                <w:rFonts w:cs="HelveticaNeueLTStd-Bd"/>
                <w:b/>
                <w:bCs/>
              </w:rPr>
            </w:pPr>
          </w:p>
        </w:tc>
        <w:tc>
          <w:tcPr>
            <w:tcW w:w="7650" w:type="dxa"/>
          </w:tcPr>
          <w:p w14:paraId="29A66410" w14:textId="77777777" w:rsidR="00EC1EBC" w:rsidRPr="00F404D4" w:rsidRDefault="00EC1EBC" w:rsidP="006A6D81">
            <w:pPr>
              <w:autoSpaceDE w:val="0"/>
              <w:autoSpaceDN w:val="0"/>
              <w:adjustRightInd w:val="0"/>
              <w:jc w:val="both"/>
              <w:rPr>
                <w:rFonts w:cs="Calibri"/>
              </w:rPr>
            </w:pPr>
          </w:p>
          <w:p w14:paraId="6F597920" w14:textId="77777777" w:rsidR="00EC1EBC" w:rsidRPr="00F404D4" w:rsidRDefault="00EC1EBC" w:rsidP="006A6D81">
            <w:pPr>
              <w:autoSpaceDE w:val="0"/>
              <w:autoSpaceDN w:val="0"/>
              <w:adjustRightInd w:val="0"/>
              <w:jc w:val="both"/>
              <w:rPr>
                <w:rFonts w:cs="Calibri"/>
              </w:rPr>
            </w:pPr>
            <w:r w:rsidRPr="00F404D4">
              <w:rPr>
                <w:rFonts w:cs="Calibri"/>
              </w:rPr>
              <w:t xml:space="preserve">Import corporate branding into active workspaces. </w:t>
            </w:r>
          </w:p>
        </w:tc>
      </w:tr>
      <w:tr w:rsidR="00EC1EBC" w:rsidRPr="00F404D4" w14:paraId="55F31E37" w14:textId="77777777" w:rsidTr="006A6D81">
        <w:tc>
          <w:tcPr>
            <w:tcW w:w="1890" w:type="dxa"/>
            <w:shd w:val="clear" w:color="auto" w:fill="D9E2F3" w:themeFill="accent1" w:themeFillTint="33"/>
          </w:tcPr>
          <w:p w14:paraId="546658B3" w14:textId="77777777" w:rsidR="00EC1EBC" w:rsidRPr="00F404D4" w:rsidRDefault="00EC1EBC" w:rsidP="006A6D81">
            <w:pPr>
              <w:autoSpaceDE w:val="0"/>
              <w:autoSpaceDN w:val="0"/>
              <w:adjustRightInd w:val="0"/>
              <w:rPr>
                <w:rFonts w:cs="HelveticaNeueLTStd-Bd"/>
                <w:b/>
                <w:bCs/>
              </w:rPr>
            </w:pPr>
          </w:p>
          <w:p w14:paraId="7565AE14"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Security</w:t>
            </w:r>
          </w:p>
          <w:p w14:paraId="58D43A69" w14:textId="77777777" w:rsidR="00EC1EBC" w:rsidRPr="00F404D4" w:rsidRDefault="00EC1EBC" w:rsidP="006A6D81">
            <w:pPr>
              <w:autoSpaceDE w:val="0"/>
              <w:autoSpaceDN w:val="0"/>
              <w:adjustRightInd w:val="0"/>
              <w:rPr>
                <w:rFonts w:cs="HelveticaNeueLTStd-Bd"/>
                <w:b/>
                <w:bCs/>
              </w:rPr>
            </w:pPr>
          </w:p>
        </w:tc>
        <w:tc>
          <w:tcPr>
            <w:tcW w:w="7650" w:type="dxa"/>
          </w:tcPr>
          <w:p w14:paraId="60D1C5CE" w14:textId="77777777" w:rsidR="00EC1EBC" w:rsidRPr="00F404D4" w:rsidRDefault="00EC1EBC" w:rsidP="006A6D81">
            <w:pPr>
              <w:autoSpaceDE w:val="0"/>
              <w:autoSpaceDN w:val="0"/>
              <w:adjustRightInd w:val="0"/>
              <w:jc w:val="both"/>
              <w:rPr>
                <w:rFonts w:cs="Calibri"/>
              </w:rPr>
            </w:pPr>
          </w:p>
          <w:p w14:paraId="6A9E4CBF" w14:textId="77777777" w:rsidR="00EC1EBC" w:rsidRPr="00F404D4" w:rsidRDefault="00EC1EBC" w:rsidP="006A6D81">
            <w:pPr>
              <w:autoSpaceDE w:val="0"/>
              <w:autoSpaceDN w:val="0"/>
              <w:adjustRightInd w:val="0"/>
              <w:jc w:val="both"/>
              <w:rPr>
                <w:rFonts w:cs="Calibri"/>
              </w:rPr>
            </w:pPr>
            <w:r w:rsidRPr="00F404D4">
              <w:rPr>
                <w:rFonts w:cs="Calibri"/>
              </w:rPr>
              <w:t>Full security options – secure site; authentication, workspace protection and content protection.</w:t>
            </w:r>
          </w:p>
        </w:tc>
      </w:tr>
      <w:tr w:rsidR="00EC1EBC" w:rsidRPr="00F404D4" w14:paraId="2C277F1E" w14:textId="77777777" w:rsidTr="006A6D81">
        <w:tc>
          <w:tcPr>
            <w:tcW w:w="1890" w:type="dxa"/>
            <w:shd w:val="clear" w:color="auto" w:fill="D9E2F3" w:themeFill="accent1" w:themeFillTint="33"/>
          </w:tcPr>
          <w:p w14:paraId="6ADB1439" w14:textId="77777777" w:rsidR="00EC1EBC" w:rsidRPr="00F404D4" w:rsidRDefault="00EC1EBC" w:rsidP="006A6D81">
            <w:pPr>
              <w:autoSpaceDE w:val="0"/>
              <w:autoSpaceDN w:val="0"/>
              <w:adjustRightInd w:val="0"/>
              <w:rPr>
                <w:rFonts w:cs="HelveticaNeueLTStd-Bd"/>
                <w:b/>
                <w:bCs/>
              </w:rPr>
            </w:pPr>
          </w:p>
          <w:p w14:paraId="71A3AC4A" w14:textId="77777777" w:rsidR="00EC1EBC" w:rsidRPr="00F404D4" w:rsidRDefault="00EC1EBC" w:rsidP="006A6D81">
            <w:pPr>
              <w:autoSpaceDE w:val="0"/>
              <w:autoSpaceDN w:val="0"/>
              <w:adjustRightInd w:val="0"/>
              <w:rPr>
                <w:rFonts w:cs="HelveticaNeueLTStd-Bd"/>
                <w:b/>
                <w:bCs/>
              </w:rPr>
            </w:pPr>
          </w:p>
          <w:p w14:paraId="2F158E24" w14:textId="77777777" w:rsidR="00EC1EBC" w:rsidRPr="00F404D4" w:rsidRDefault="00EC1EBC" w:rsidP="006A6D81">
            <w:pPr>
              <w:autoSpaceDE w:val="0"/>
              <w:autoSpaceDN w:val="0"/>
              <w:adjustRightInd w:val="0"/>
              <w:rPr>
                <w:rFonts w:cs="HelveticaNeueLTStd-Bd"/>
                <w:b/>
                <w:bCs/>
              </w:rPr>
            </w:pPr>
          </w:p>
          <w:p w14:paraId="68FACD46" w14:textId="77777777" w:rsidR="00EC1EBC" w:rsidRPr="00F404D4" w:rsidRDefault="00EC1EBC" w:rsidP="006A6D81">
            <w:pPr>
              <w:autoSpaceDE w:val="0"/>
              <w:autoSpaceDN w:val="0"/>
              <w:adjustRightInd w:val="0"/>
              <w:rPr>
                <w:rFonts w:cs="HelveticaNeueLTStd-Bd"/>
                <w:b/>
                <w:bCs/>
              </w:rPr>
            </w:pPr>
          </w:p>
          <w:p w14:paraId="78A1DA3B" w14:textId="77777777" w:rsidR="00EC1EBC" w:rsidRPr="00F404D4" w:rsidRDefault="00EC1EBC" w:rsidP="006A6D81">
            <w:pPr>
              <w:autoSpaceDE w:val="0"/>
              <w:autoSpaceDN w:val="0"/>
              <w:adjustRightInd w:val="0"/>
              <w:rPr>
                <w:rFonts w:cs="HelveticaNeueLTStd-Bd"/>
                <w:b/>
                <w:bCs/>
              </w:rPr>
            </w:pPr>
          </w:p>
          <w:p w14:paraId="743E0789" w14:textId="77777777" w:rsidR="00EC1EBC" w:rsidRPr="00F404D4" w:rsidRDefault="00EC1EBC" w:rsidP="006A6D81">
            <w:pPr>
              <w:autoSpaceDE w:val="0"/>
              <w:autoSpaceDN w:val="0"/>
              <w:adjustRightInd w:val="0"/>
              <w:rPr>
                <w:rFonts w:cs="HelveticaNeueLTStd-Bd"/>
                <w:b/>
                <w:bCs/>
              </w:rPr>
            </w:pPr>
          </w:p>
          <w:p w14:paraId="0AB40796" w14:textId="77777777" w:rsidR="00EC1EBC" w:rsidRPr="00F404D4" w:rsidRDefault="00EC1EBC" w:rsidP="006A6D81">
            <w:pPr>
              <w:autoSpaceDE w:val="0"/>
              <w:autoSpaceDN w:val="0"/>
              <w:adjustRightInd w:val="0"/>
              <w:rPr>
                <w:rFonts w:cs="HelveticaNeueLTStd-Bd"/>
                <w:b/>
                <w:bCs/>
              </w:rPr>
            </w:pPr>
            <w:r w:rsidRPr="00F404D4">
              <w:rPr>
                <w:rFonts w:cs="HelveticaNeueLTStd-Bd"/>
                <w:b/>
                <w:bCs/>
              </w:rPr>
              <w:t>Regulatory Change Management</w:t>
            </w:r>
          </w:p>
        </w:tc>
        <w:tc>
          <w:tcPr>
            <w:tcW w:w="7650" w:type="dxa"/>
          </w:tcPr>
          <w:p w14:paraId="3793BFDD" w14:textId="77777777" w:rsidR="00EC1EBC" w:rsidRPr="00F404D4" w:rsidRDefault="00EC1EBC" w:rsidP="006A6D81">
            <w:pPr>
              <w:shd w:val="clear" w:color="auto" w:fill="FFFFFF"/>
              <w:spacing w:before="100" w:beforeAutospacing="1" w:line="300" w:lineRule="atLeast"/>
              <w:rPr>
                <w:rFonts w:eastAsia="Times New Roman" w:cs="Helvetica"/>
                <w:color w:val="000000" w:themeColor="text1"/>
              </w:rPr>
            </w:pPr>
            <w:r w:rsidRPr="00F404D4">
              <w:rPr>
                <w:rFonts w:eastAsia="Times New Roman" w:cs="Helvetica"/>
                <w:color w:val="000000" w:themeColor="text1"/>
              </w:rPr>
              <w:t>Manage the regulatory changes impacting your organization and maintain compliance using C2C SmartCompliance’s Intelligent Regulatory Change Management solution.  Increase the efficiency of the change management process with filtered alerts that feed changes to only those regulations that are relevant to your organization, and receive mappings showing how those changes relate to your organization’s policies, procedures, controls, lines of business, geographic entities, and other organizational assets.  </w:t>
            </w:r>
          </w:p>
          <w:p w14:paraId="3A3447DE" w14:textId="77777777" w:rsidR="00EC1EBC" w:rsidRPr="00F404D4" w:rsidRDefault="00EC1EBC" w:rsidP="006A6D81">
            <w:pPr>
              <w:shd w:val="clear" w:color="auto" w:fill="FFFFFF"/>
              <w:spacing w:before="100" w:beforeAutospacing="1" w:after="100" w:afterAutospacing="1" w:line="300" w:lineRule="atLeast"/>
              <w:rPr>
                <w:rFonts w:eastAsia="Times New Roman" w:cs="Helvetica"/>
                <w:color w:val="000000" w:themeColor="text1"/>
              </w:rPr>
            </w:pPr>
            <w:r w:rsidRPr="00F404D4">
              <w:rPr>
                <w:rFonts w:eastAsia="Times New Roman" w:cs="Helvetica"/>
                <w:color w:val="000000" w:themeColor="text1"/>
              </w:rPr>
              <w:t>C2C SmartCompliance’s Intelligent Regulatory Change Management solution ensures that your organization’s compliance library will include the most current regulations, standards and mappings.  Our solution provides assurances of regulatory compliance, a proven methodology for managing regulatory changes, and reporting tools to respond to management and regulator inquiries regarding compliance.    </w:t>
            </w:r>
          </w:p>
          <w:p w14:paraId="02B5ED8A" w14:textId="77777777" w:rsidR="00EC1EBC" w:rsidRPr="00F404D4" w:rsidRDefault="00EC1EBC" w:rsidP="006A6D81">
            <w:pPr>
              <w:shd w:val="clear" w:color="auto" w:fill="FFFFFF"/>
              <w:spacing w:before="100" w:beforeAutospacing="1" w:after="100" w:afterAutospacing="1" w:line="300" w:lineRule="atLeast"/>
              <w:rPr>
                <w:rFonts w:eastAsia="Times New Roman" w:cs="Helvetica"/>
                <w:color w:val="000000" w:themeColor="text1"/>
              </w:rPr>
            </w:pPr>
            <w:r w:rsidRPr="00F404D4">
              <w:rPr>
                <w:rFonts w:eastAsia="Times New Roman" w:cs="Helvetica"/>
                <w:color w:val="000000" w:themeColor="text1"/>
              </w:rPr>
              <w:t>Our Regulatory Change Management solution leverages the unique ability of Compliance Mapper™ to quickly import and map content.  When a regulatory change occurs, alerts provide actionable intelligence regarding the change, including text of the regulation with changes highlighted, as well as associated mappings customized to an organization’s needs.  This allows our clients to rapidly get information regarding the change in the hands of decision makers, so they can take actions necessary to modify policies, procedures and controls to maintain compliance. </w:t>
            </w:r>
          </w:p>
          <w:p w14:paraId="18666B1A" w14:textId="77777777" w:rsidR="00EC1EBC" w:rsidRPr="00F404D4" w:rsidRDefault="00EC1EBC" w:rsidP="006A6D81">
            <w:pPr>
              <w:autoSpaceDE w:val="0"/>
              <w:autoSpaceDN w:val="0"/>
              <w:adjustRightInd w:val="0"/>
              <w:jc w:val="both"/>
              <w:rPr>
                <w:rFonts w:cs="Calibri"/>
              </w:rPr>
            </w:pPr>
          </w:p>
        </w:tc>
      </w:tr>
      <w:tr w:rsidR="00EC1EBC" w:rsidRPr="00F404D4" w14:paraId="49A9D757" w14:textId="77777777" w:rsidTr="006A6D81">
        <w:tc>
          <w:tcPr>
            <w:tcW w:w="1890" w:type="dxa"/>
            <w:shd w:val="clear" w:color="auto" w:fill="D9E2F3" w:themeFill="accent1" w:themeFillTint="33"/>
          </w:tcPr>
          <w:p w14:paraId="024474FF" w14:textId="77777777" w:rsidR="00EC1EBC" w:rsidRPr="00F404D4" w:rsidRDefault="00EC1EBC" w:rsidP="006A6D81">
            <w:pPr>
              <w:autoSpaceDE w:val="0"/>
              <w:autoSpaceDN w:val="0"/>
              <w:adjustRightInd w:val="0"/>
              <w:rPr>
                <w:rFonts w:cs="HelveticaNeueLTStd-Bd"/>
                <w:b/>
                <w:bCs/>
              </w:rPr>
            </w:pPr>
            <w:r>
              <w:rPr>
                <w:rFonts w:cs="HelveticaNeueLTStd-Bd"/>
                <w:b/>
                <w:bCs/>
              </w:rPr>
              <w:t>Risk Tracker</w:t>
            </w:r>
          </w:p>
        </w:tc>
        <w:tc>
          <w:tcPr>
            <w:tcW w:w="7650" w:type="dxa"/>
          </w:tcPr>
          <w:p w14:paraId="17491EF9" w14:textId="77777777" w:rsidR="00EC1EBC" w:rsidRDefault="00EC1EBC" w:rsidP="006A6D81">
            <w:pPr>
              <w:jc w:val="both"/>
            </w:pPr>
            <w:r>
              <w:t>Risk Tracker provides a unique view to the next level of management control for deficiencies and risks within the organization. Risk Tracker allows input to all risk types and a powerful filtering and reporting capability to identify specific risk types. Risk tracker allow risks to measured and remediated in a controlled way utilizing intuitive workflow from beginning to end.</w:t>
            </w:r>
          </w:p>
          <w:p w14:paraId="6B36031C" w14:textId="77777777" w:rsidR="00EC1EBC" w:rsidRDefault="00EC1EBC" w:rsidP="006A6D81">
            <w:pPr>
              <w:jc w:val="both"/>
            </w:pPr>
          </w:p>
          <w:p w14:paraId="1222330C" w14:textId="77777777" w:rsidR="00EC1EBC" w:rsidRDefault="00EC1EBC" w:rsidP="006A6D81">
            <w:pPr>
              <w:jc w:val="both"/>
            </w:pPr>
            <w:r>
              <w:t xml:space="preserve">The ISO standards require process to be followed and evidence to be provided, this includes, Risk Treatment, Corrective and Preventive Action and sometimes root cause analysis, and these processes require considerable work and management to </w:t>
            </w:r>
            <w:r>
              <w:lastRenderedPageBreak/>
              <w:t>their conclusion. In addition, organizations have implemented paper-based systems to support these activities. These systems are cumbersome and have no tracking or visibility into the overall picture in one place.</w:t>
            </w:r>
          </w:p>
          <w:p w14:paraId="450D2029" w14:textId="77777777" w:rsidR="00EC1EBC" w:rsidRDefault="00EC1EBC" w:rsidP="006A6D81">
            <w:pPr>
              <w:jc w:val="both"/>
            </w:pPr>
          </w:p>
          <w:p w14:paraId="2397A5B4" w14:textId="77777777" w:rsidR="00EC1EBC" w:rsidRDefault="00EC1EBC" w:rsidP="006A6D81">
            <w:pPr>
              <w:jc w:val="both"/>
            </w:pPr>
            <w:r>
              <w:t>Regulators, IT, Compliance, Project and Risk Managers have responsibilities to ensure risks are remediated in a timely manner and are under pressure to maintain paper based or spreadsheet systems when support is sparse or not available.</w:t>
            </w:r>
          </w:p>
          <w:p w14:paraId="0BBCB7F2" w14:textId="77777777" w:rsidR="00EC1EBC" w:rsidRDefault="00EC1EBC" w:rsidP="006A6D81">
            <w:pPr>
              <w:jc w:val="both"/>
            </w:pPr>
          </w:p>
          <w:p w14:paraId="61E97250" w14:textId="77777777" w:rsidR="00EC1EBC" w:rsidRDefault="00EC1EBC" w:rsidP="006A6D81">
            <w:pPr>
              <w:jc w:val="both"/>
            </w:pPr>
            <w:r>
              <w:t>Risk Tracker can track a myriad of risk types to conclusion. New risk types can be created easily.</w:t>
            </w:r>
          </w:p>
          <w:p w14:paraId="53D35821" w14:textId="77777777" w:rsidR="00EC1EBC" w:rsidRDefault="00EC1EBC" w:rsidP="006A6D81">
            <w:pPr>
              <w:shd w:val="clear" w:color="auto" w:fill="FFFFFF"/>
              <w:spacing w:before="100" w:beforeAutospacing="1" w:line="300" w:lineRule="atLeast"/>
              <w:rPr>
                <w:rFonts w:eastAsia="Times New Roman" w:cs="Helvetica"/>
                <w:color w:val="000000" w:themeColor="text1"/>
              </w:rPr>
            </w:pPr>
            <w:r>
              <w:rPr>
                <w:rFonts w:eastAsia="Times New Roman" w:cs="Helvetica"/>
                <w:color w:val="000000" w:themeColor="text1"/>
              </w:rPr>
              <w:t>Examples of risk type managed:</w:t>
            </w:r>
          </w:p>
          <w:p w14:paraId="6DE8C77F" w14:textId="77777777" w:rsidR="00EC1EBC" w:rsidRPr="009258E9" w:rsidRDefault="00EC1EBC" w:rsidP="006A6D81">
            <w:pPr>
              <w:tabs>
                <w:tab w:val="left" w:pos="2988"/>
              </w:tabs>
              <w:spacing w:line="259" w:lineRule="auto"/>
              <w:ind w:left="113"/>
            </w:pPr>
            <w:r w:rsidRPr="009258E9">
              <w:t xml:space="preserve">General Risk Treatment  </w:t>
            </w:r>
            <w:r w:rsidRPr="009258E9">
              <w:tab/>
            </w:r>
            <w:r>
              <w:t xml:space="preserve"> </w:t>
            </w:r>
          </w:p>
          <w:p w14:paraId="163A475A" w14:textId="77777777" w:rsidR="00EC1EBC" w:rsidRPr="009258E9" w:rsidRDefault="00EC1EBC" w:rsidP="006A6D81">
            <w:pPr>
              <w:tabs>
                <w:tab w:val="left" w:pos="2988"/>
              </w:tabs>
              <w:spacing w:line="259" w:lineRule="auto"/>
              <w:ind w:left="113"/>
            </w:pPr>
            <w:r w:rsidRPr="009258E9">
              <w:t>Corrective Action</w:t>
            </w:r>
            <w:r w:rsidRPr="009258E9">
              <w:tab/>
            </w:r>
            <w:r>
              <w:t xml:space="preserve">         </w:t>
            </w:r>
          </w:p>
          <w:p w14:paraId="54D0170B" w14:textId="77777777" w:rsidR="00EC1EBC" w:rsidRPr="009258E9" w:rsidRDefault="00EC1EBC" w:rsidP="006A6D81">
            <w:pPr>
              <w:tabs>
                <w:tab w:val="left" w:pos="2988"/>
              </w:tabs>
              <w:spacing w:line="259" w:lineRule="auto"/>
              <w:ind w:left="113"/>
            </w:pPr>
            <w:r w:rsidRPr="009258E9">
              <w:t>Preventive Action</w:t>
            </w:r>
            <w:r w:rsidRPr="009258E9">
              <w:tab/>
            </w:r>
            <w:r>
              <w:t xml:space="preserve">       </w:t>
            </w:r>
          </w:p>
          <w:p w14:paraId="724B72D5" w14:textId="77777777" w:rsidR="00EC1EBC" w:rsidRDefault="00EC1EBC" w:rsidP="006A6D81">
            <w:pPr>
              <w:tabs>
                <w:tab w:val="left" w:pos="2988"/>
              </w:tabs>
              <w:spacing w:line="259" w:lineRule="auto"/>
              <w:ind w:left="113"/>
            </w:pPr>
            <w:r w:rsidRPr="009258E9">
              <w:t>Technology Risk</w:t>
            </w:r>
          </w:p>
          <w:p w14:paraId="4E10E88C" w14:textId="5160984A" w:rsidR="00EC1EBC" w:rsidRPr="009258E9" w:rsidRDefault="00EC1EBC" w:rsidP="006A6D81">
            <w:pPr>
              <w:tabs>
                <w:tab w:val="left" w:pos="2988"/>
              </w:tabs>
              <w:spacing w:line="259" w:lineRule="auto"/>
              <w:ind w:left="113"/>
            </w:pPr>
            <w:r>
              <w:t>Business Continuity remediation</w:t>
            </w:r>
            <w:r w:rsidRPr="009258E9">
              <w:tab/>
            </w:r>
            <w:r>
              <w:t xml:space="preserve"> </w:t>
            </w:r>
          </w:p>
          <w:p w14:paraId="79B61DBF" w14:textId="77777777" w:rsidR="00EC1EBC" w:rsidRPr="009258E9" w:rsidRDefault="00EC1EBC" w:rsidP="006A6D81">
            <w:pPr>
              <w:tabs>
                <w:tab w:val="left" w:pos="2988"/>
              </w:tabs>
              <w:spacing w:line="259" w:lineRule="auto"/>
              <w:ind w:left="113"/>
            </w:pPr>
            <w:r w:rsidRPr="009258E9">
              <w:t>Business Risk</w:t>
            </w:r>
            <w:r w:rsidRPr="009258E9">
              <w:tab/>
            </w:r>
            <w:r>
              <w:t xml:space="preserve">                 </w:t>
            </w:r>
          </w:p>
          <w:p w14:paraId="5AA00EE3" w14:textId="77777777" w:rsidR="00EC1EBC" w:rsidRPr="009258E9" w:rsidRDefault="00EC1EBC" w:rsidP="006A6D81">
            <w:pPr>
              <w:tabs>
                <w:tab w:val="left" w:pos="2988"/>
              </w:tabs>
              <w:spacing w:line="259" w:lineRule="auto"/>
              <w:ind w:left="113"/>
            </w:pPr>
            <w:r w:rsidRPr="009258E9">
              <w:t>Legal Risk</w:t>
            </w:r>
            <w:r w:rsidRPr="009258E9">
              <w:tab/>
            </w:r>
            <w:r>
              <w:t xml:space="preserve"> </w:t>
            </w:r>
          </w:p>
          <w:p w14:paraId="496806E3" w14:textId="77777777" w:rsidR="00EC1EBC" w:rsidRPr="009258E9" w:rsidRDefault="00EC1EBC" w:rsidP="006A6D81">
            <w:pPr>
              <w:tabs>
                <w:tab w:val="left" w:pos="2988"/>
              </w:tabs>
              <w:spacing w:line="259" w:lineRule="auto"/>
              <w:ind w:left="113"/>
            </w:pPr>
            <w:r w:rsidRPr="009258E9">
              <w:t>Privacy Risk</w:t>
            </w:r>
            <w:r w:rsidRPr="009258E9">
              <w:tab/>
            </w:r>
            <w:r>
              <w:t xml:space="preserve"> </w:t>
            </w:r>
          </w:p>
          <w:p w14:paraId="36DD05F0" w14:textId="77777777" w:rsidR="00EC1EBC" w:rsidRPr="009258E9" w:rsidRDefault="00EC1EBC" w:rsidP="006A6D81">
            <w:pPr>
              <w:tabs>
                <w:tab w:val="left" w:pos="2988"/>
              </w:tabs>
              <w:spacing w:line="259" w:lineRule="auto"/>
              <w:ind w:left="113"/>
            </w:pPr>
            <w:r w:rsidRPr="009258E9">
              <w:t>People Risk</w:t>
            </w:r>
            <w:r w:rsidRPr="009258E9">
              <w:tab/>
            </w:r>
            <w:r>
              <w:t xml:space="preserve">                      </w:t>
            </w:r>
          </w:p>
          <w:p w14:paraId="58398900" w14:textId="77777777" w:rsidR="00EC1EBC" w:rsidRPr="009258E9" w:rsidRDefault="00EC1EBC" w:rsidP="006A6D81">
            <w:pPr>
              <w:tabs>
                <w:tab w:val="left" w:pos="2988"/>
              </w:tabs>
              <w:spacing w:line="259" w:lineRule="auto"/>
              <w:ind w:left="113"/>
            </w:pPr>
            <w:r w:rsidRPr="009258E9">
              <w:t>Environmental Risk</w:t>
            </w:r>
            <w:r w:rsidRPr="009258E9">
              <w:tab/>
            </w:r>
            <w:r>
              <w:t xml:space="preserve">                      </w:t>
            </w:r>
          </w:p>
          <w:p w14:paraId="3249A369" w14:textId="77777777" w:rsidR="00EC1EBC" w:rsidRPr="009258E9" w:rsidRDefault="00EC1EBC" w:rsidP="006A6D81">
            <w:pPr>
              <w:tabs>
                <w:tab w:val="left" w:pos="2988"/>
              </w:tabs>
              <w:spacing w:line="259" w:lineRule="auto"/>
              <w:ind w:left="113"/>
            </w:pPr>
            <w:r w:rsidRPr="009258E9">
              <w:t>Health &amp; Safety Risk</w:t>
            </w:r>
            <w:r w:rsidRPr="009258E9">
              <w:tab/>
            </w:r>
            <w:r>
              <w:t xml:space="preserve"> </w:t>
            </w:r>
            <w:r w:rsidRPr="009258E9">
              <w:t xml:space="preserve"> </w:t>
            </w:r>
            <w:bookmarkStart w:id="0" w:name="_GoBack"/>
            <w:bookmarkEnd w:id="0"/>
          </w:p>
          <w:p w14:paraId="4E0EC7E3" w14:textId="77777777" w:rsidR="00EC1EBC" w:rsidRPr="009258E9" w:rsidRDefault="00EC1EBC" w:rsidP="006A6D81">
            <w:pPr>
              <w:tabs>
                <w:tab w:val="left" w:pos="2988"/>
              </w:tabs>
              <w:spacing w:line="259" w:lineRule="auto"/>
              <w:ind w:left="113"/>
            </w:pPr>
            <w:r w:rsidRPr="009258E9">
              <w:t>Project Risk</w:t>
            </w:r>
            <w:r w:rsidRPr="009258E9">
              <w:tab/>
            </w:r>
            <w:r>
              <w:t xml:space="preserve"> </w:t>
            </w:r>
          </w:p>
          <w:p w14:paraId="28173A04" w14:textId="77777777" w:rsidR="00EC1EBC" w:rsidRPr="009258E9" w:rsidRDefault="00EC1EBC" w:rsidP="006A6D81">
            <w:pPr>
              <w:tabs>
                <w:tab w:val="left" w:pos="2988"/>
              </w:tabs>
              <w:spacing w:line="259" w:lineRule="auto"/>
              <w:ind w:left="113"/>
            </w:pPr>
            <w:r w:rsidRPr="009258E9">
              <w:t>Vendor Risk</w:t>
            </w:r>
            <w:r w:rsidRPr="009258E9">
              <w:tab/>
            </w:r>
            <w:r>
              <w:t xml:space="preserve"> </w:t>
            </w:r>
          </w:p>
          <w:p w14:paraId="1E196A2C" w14:textId="77777777" w:rsidR="00EC1EBC" w:rsidRDefault="00EC1EBC" w:rsidP="006A6D81">
            <w:pPr>
              <w:tabs>
                <w:tab w:val="left" w:pos="2988"/>
              </w:tabs>
              <w:spacing w:line="259" w:lineRule="auto"/>
              <w:ind w:left="113"/>
            </w:pPr>
            <w:r w:rsidRPr="009258E9">
              <w:t>Information Risk</w:t>
            </w:r>
            <w:r w:rsidRPr="009258E9">
              <w:tab/>
            </w:r>
            <w:r>
              <w:t xml:space="preserve"> </w:t>
            </w:r>
          </w:p>
          <w:p w14:paraId="500ACEBC" w14:textId="77777777" w:rsidR="00EC1EBC" w:rsidRPr="002B4C13" w:rsidRDefault="00EC1EBC" w:rsidP="006A6D81">
            <w:pPr>
              <w:tabs>
                <w:tab w:val="left" w:pos="2988"/>
              </w:tabs>
              <w:spacing w:line="259" w:lineRule="auto"/>
              <w:ind w:left="113"/>
            </w:pPr>
            <w:r w:rsidRPr="009258E9">
              <w:t>Quality (QMS) Risk</w:t>
            </w:r>
          </w:p>
        </w:tc>
      </w:tr>
    </w:tbl>
    <w:p w14:paraId="37A78526" w14:textId="77777777" w:rsidR="00953547" w:rsidRDefault="00953547"/>
    <w:sectPr w:rsidR="0095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B01"/>
    <w:multiLevelType w:val="hybridMultilevel"/>
    <w:tmpl w:val="7E06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BC"/>
    <w:rsid w:val="00953547"/>
    <w:rsid w:val="00B24AF7"/>
    <w:rsid w:val="00EC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778E"/>
  <w15:chartTrackingRefBased/>
  <w15:docId w15:val="{91980F57-0523-472E-8212-0B816BA5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C1EB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BC"/>
  </w:style>
  <w:style w:type="table" w:styleId="TableGrid">
    <w:name w:val="Table Grid"/>
    <w:basedOn w:val="TableNormal"/>
    <w:uiPriority w:val="59"/>
    <w:rsid w:val="00EC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Crutchley</dc:creator>
  <cp:keywords/>
  <dc:description/>
  <cp:lastModifiedBy>Steve Crutchley</cp:lastModifiedBy>
  <cp:revision>1</cp:revision>
  <dcterms:created xsi:type="dcterms:W3CDTF">2018-09-14T13:51:00Z</dcterms:created>
  <dcterms:modified xsi:type="dcterms:W3CDTF">2018-09-14T13:53:00Z</dcterms:modified>
</cp:coreProperties>
</file>